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rsidTr="00B84223">
        <w:tc>
          <w:tcPr>
            <w:tcW w:w="9747" w:type="dxa"/>
          </w:tcPr>
          <w:p w:rsidR="00992445" w:rsidRPr="00ED31C4" w:rsidRDefault="00992445" w:rsidP="00B84223"/>
          <w:p w:rsidR="00992445" w:rsidRPr="00ED31C4" w:rsidRDefault="00992445" w:rsidP="00B84223">
            <w:pPr>
              <w:jc w:val="center"/>
              <w:rPr>
                <w:b/>
              </w:rPr>
            </w:pPr>
            <w:r w:rsidRPr="00ED31C4">
              <w:rPr>
                <w:b/>
              </w:rPr>
              <w:t>ADATBEJELENTÉS</w:t>
            </w:r>
          </w:p>
          <w:p w:rsidR="00992445" w:rsidRPr="00ED31C4" w:rsidRDefault="00992445" w:rsidP="00B84223">
            <w:pPr>
              <w:jc w:val="center"/>
              <w:rPr>
                <w:b/>
              </w:rPr>
            </w:pPr>
          </w:p>
          <w:p w:rsidR="00992445" w:rsidRPr="00ED31C4" w:rsidRDefault="00992445" w:rsidP="00B84223">
            <w:pPr>
              <w:jc w:val="center"/>
              <w:rPr>
                <w:b/>
              </w:rPr>
            </w:pPr>
            <w:r w:rsidRPr="00ED31C4">
              <w:rPr>
                <w:b/>
              </w:rPr>
              <w:t>a magánszemély kommunális adójáról</w:t>
            </w:r>
          </w:p>
          <w:p w:rsidR="00992445" w:rsidRPr="00ED31C4" w:rsidRDefault="00992445" w:rsidP="00B84223">
            <w:pPr>
              <w:jc w:val="center"/>
            </w:pPr>
          </w:p>
          <w:p w:rsidR="00992445" w:rsidRPr="00ED31C4" w:rsidRDefault="00992445" w:rsidP="00B84223">
            <w:pPr>
              <w:jc w:val="center"/>
            </w:pPr>
            <w:r w:rsidRPr="00ED31C4">
              <w:t>Benyújtandó az adótárgy fekvése szerinti</w:t>
            </w:r>
          </w:p>
          <w:p w:rsidR="00992445" w:rsidRPr="00ED31C4" w:rsidRDefault="00992445" w:rsidP="00B84223">
            <w:pPr>
              <w:jc w:val="center"/>
            </w:pPr>
            <w:r w:rsidRPr="00ED31C4">
              <w:t>települési önkormányzati, a fővárosban a kerületi önkormányzati adóhatóságnak.</w:t>
            </w:r>
          </w:p>
          <w:p w:rsidR="00992445" w:rsidRPr="00ED31C4" w:rsidRDefault="00992445" w:rsidP="00B84223">
            <w:pPr>
              <w:jc w:val="center"/>
              <w:rPr>
                <w:i/>
              </w:rPr>
            </w:pPr>
          </w:p>
          <w:p w:rsidR="00992445" w:rsidRPr="00ED31C4" w:rsidRDefault="00992445" w:rsidP="00B84223">
            <w:pPr>
              <w:jc w:val="center"/>
              <w:rPr>
                <w:i/>
              </w:rPr>
            </w:pPr>
            <w:r w:rsidRPr="00ED31C4">
              <w:rPr>
                <w:i/>
              </w:rPr>
              <w:t>(Helyrajzi számonként külön-külön kell az adatbejelentést benyújtani!)</w:t>
            </w:r>
          </w:p>
          <w:p w:rsidR="00992445" w:rsidRPr="00ED31C4" w:rsidRDefault="00992445" w:rsidP="00B84223"/>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rsidTr="00B84223">
        <w:tc>
          <w:tcPr>
            <w:tcW w:w="9747" w:type="dxa"/>
            <w:gridSpan w:val="2"/>
          </w:tcPr>
          <w:p w:rsidR="00992445" w:rsidRPr="00ED31C4" w:rsidRDefault="00992445" w:rsidP="00B84223">
            <w:pPr>
              <w:ind w:left="1080"/>
              <w:contextualSpacing/>
            </w:pPr>
          </w:p>
          <w:p w:rsidR="00992445" w:rsidRPr="00ED31C4" w:rsidRDefault="00992445" w:rsidP="00992445">
            <w:pPr>
              <w:numPr>
                <w:ilvl w:val="0"/>
                <w:numId w:val="2"/>
              </w:numPr>
              <w:contextualSpacing/>
            </w:pPr>
            <w:r w:rsidRPr="00ED31C4">
              <w:rPr>
                <w:b/>
              </w:rPr>
              <w:t>Az adatbejelentés fajtája:</w:t>
            </w:r>
          </w:p>
          <w:p w:rsidR="00992445" w:rsidRPr="00ED31C4" w:rsidRDefault="00992445" w:rsidP="00B84223">
            <w:pPr>
              <w:ind w:left="1080"/>
              <w:contextualSpacing/>
            </w:pPr>
          </w:p>
        </w:tc>
      </w:tr>
      <w:tr w:rsidR="00992445" w:rsidRPr="00ED31C4" w:rsidTr="00B84223">
        <w:tc>
          <w:tcPr>
            <w:tcW w:w="4606" w:type="dxa"/>
            <w:tcBorders>
              <w:right w:val="nil"/>
            </w:tcBorders>
          </w:tcPr>
          <w:p w:rsidR="00992445" w:rsidRPr="00ED31C4" w:rsidRDefault="00992445" w:rsidP="00B84223">
            <w:pPr>
              <w:ind w:left="720"/>
              <w:contextualSpacing/>
            </w:pPr>
          </w:p>
          <w:p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rsidR="00992445" w:rsidRPr="00ED31C4" w:rsidRDefault="00992445" w:rsidP="00B84223">
            <w:pPr>
              <w:ind w:left="720"/>
              <w:contextualSpacing/>
            </w:pPr>
          </w:p>
          <w:p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rsidTr="00B84223">
        <w:tc>
          <w:tcPr>
            <w:tcW w:w="9747" w:type="dxa"/>
            <w:gridSpan w:val="2"/>
          </w:tcPr>
          <w:p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w:t>
            </w:r>
            <w:proofErr w:type="gramStart"/>
            <w:r w:rsidRPr="00ED31C4">
              <w:rPr>
                <w:i/>
              </w:rPr>
              <w:t>adóalanyisággal</w:t>
            </w:r>
            <w:proofErr w:type="gramEnd"/>
            <w:r w:rsidRPr="00ED31C4">
              <w:rPr>
                <w:i/>
              </w:rPr>
              <w:t xml:space="preserve"> kapcsolatos jogokkal és kötelezettségekkel egy tulajdonost is felruházhatnak. </w:t>
            </w:r>
            <w:r w:rsidR="005A4FFA">
              <w:rPr>
                <w:i/>
              </w:rPr>
              <w:t>A me</w:t>
            </w:r>
            <w:bookmarkStart w:id="0" w:name="_GoBack"/>
            <w:bookmarkEnd w:id="0"/>
            <w:r w:rsidR="005A4FFA">
              <w:rPr>
                <w:i/>
              </w:rPr>
              <w:t>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rsidTr="00B84223">
        <w:trPr>
          <w:trHeight w:val="600"/>
        </w:trPr>
        <w:tc>
          <w:tcPr>
            <w:tcW w:w="9747" w:type="dxa"/>
          </w:tcPr>
          <w:p w:rsidR="00CD5E6C" w:rsidRPr="00ED31C4" w:rsidRDefault="00CD5E6C" w:rsidP="00506E39">
            <w:pPr>
              <w:ind w:left="1080"/>
              <w:contextualSpacing/>
              <w:rPr>
                <w:lang w:val="en-US"/>
              </w:rPr>
            </w:pPr>
            <w:r w:rsidRPr="00ED31C4">
              <w:t xml:space="preserve"> </w:t>
            </w:r>
          </w:p>
          <w:p w:rsidR="00CD5E6C" w:rsidRPr="00ED31C4" w:rsidRDefault="00CD5E6C" w:rsidP="00CD5E6C">
            <w:pPr>
              <w:pStyle w:val="Listaszerbekezds"/>
              <w:numPr>
                <w:ilvl w:val="0"/>
                <w:numId w:val="9"/>
              </w:numPr>
              <w:rPr>
                <w:b/>
                <w:lang w:val="en-US"/>
              </w:rPr>
            </w:pPr>
            <w:r w:rsidRPr="00ED31C4">
              <w:rPr>
                <w:b/>
              </w:rPr>
              <w:t>Az adatbejelentő adatai</w:t>
            </w:r>
          </w:p>
          <w:p w:rsidR="00CD5E6C" w:rsidRPr="00ED31C4" w:rsidRDefault="00CD5E6C" w:rsidP="00506E39">
            <w:pPr>
              <w:rPr>
                <w:lang w:val="en-US"/>
              </w:rPr>
            </w:pPr>
          </w:p>
        </w:tc>
      </w:tr>
      <w:tr w:rsidR="00CD5E6C" w:rsidRPr="00ED31C4" w:rsidTr="005A1EF3">
        <w:trPr>
          <w:trHeight w:val="1266"/>
        </w:trPr>
        <w:tc>
          <w:tcPr>
            <w:tcW w:w="9747" w:type="dxa"/>
            <w:tcBorders>
              <w:bottom w:val="nil"/>
            </w:tcBorders>
          </w:tcPr>
          <w:p w:rsidR="00CD5E6C" w:rsidRPr="00ED31C4" w:rsidRDefault="00CD5E6C" w:rsidP="00506E39">
            <w:pPr>
              <w:spacing w:before="40" w:after="40"/>
              <w:ind w:left="567"/>
              <w:contextualSpacing/>
            </w:pP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r w:rsidRPr="005A1EF3">
              <w:rPr>
                <w:rFonts w:eastAsiaTheme="minorHAnsi"/>
                <w:lang w:eastAsia="en-US"/>
              </w:rPr>
              <w:t>):______________________________________</w:t>
            </w:r>
            <w:r w:rsidR="00000F8B">
              <w:rPr>
                <w:rFonts w:eastAsiaTheme="minorHAnsi"/>
                <w:lang w:eastAsia="en-US"/>
              </w:rPr>
              <w:t>__</w:t>
            </w:r>
          </w:p>
          <w:p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 xml:space="preserve">Születési ideje: ________ év ____ </w:t>
            </w:r>
            <w:proofErr w:type="gramStart"/>
            <w:r w:rsidRPr="005A1EF3">
              <w:rPr>
                <w:rFonts w:eastAsiaTheme="minorHAnsi"/>
                <w:lang w:eastAsia="en-US"/>
              </w:rPr>
              <w:t>hó ____  nap</w:t>
            </w:r>
            <w:proofErr w:type="gramEnd"/>
          </w:p>
          <w:p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____</w:t>
            </w:r>
            <w:proofErr w:type="spellStart"/>
            <w:r w:rsidRPr="005A1EF3">
              <w:rPr>
                <w:rFonts w:eastAsiaTheme="minorHAnsi"/>
                <w:lang w:eastAsia="en-US"/>
              </w:rPr>
              <w:t>közterület</w:t>
            </w:r>
            <w:proofErr w:type="spellEnd"/>
            <w:proofErr w:type="gramEnd"/>
            <w:r w:rsidRPr="005A1EF3">
              <w:rPr>
                <w:rFonts w:eastAsiaTheme="minorHAnsi"/>
                <w:lang w:eastAsia="en-US"/>
              </w:rPr>
              <w:t xml:space="preserve"> jelleg ___ hsz. ___ ép. ___ </w:t>
            </w:r>
            <w:proofErr w:type="spellStart"/>
            <w:r w:rsidRPr="005A1EF3">
              <w:rPr>
                <w:rFonts w:eastAsiaTheme="minorHAnsi"/>
                <w:lang w:eastAsia="en-US"/>
              </w:rPr>
              <w:t>lh</w:t>
            </w:r>
            <w:proofErr w:type="spellEnd"/>
            <w:r w:rsidRPr="005A1EF3">
              <w:rPr>
                <w:rFonts w:eastAsiaTheme="minorHAnsi"/>
                <w:lang w:eastAsia="en-US"/>
              </w:rPr>
              <w:t>. ___em. ___ajtó.</w:t>
            </w:r>
          </w:p>
          <w:p w:rsidR="00ED31C4" w:rsidRPr="005A1EF3" w:rsidRDefault="00ED31C4" w:rsidP="00ED31C4">
            <w:pPr>
              <w:spacing w:before="40" w:after="40" w:line="276" w:lineRule="auto"/>
              <w:ind w:left="567"/>
              <w:contextualSpacing/>
              <w:rPr>
                <w:rFonts w:eastAsiaTheme="minorHAnsi"/>
                <w:lang w:eastAsia="en-US"/>
              </w:rPr>
            </w:pP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____</w:t>
            </w:r>
            <w:proofErr w:type="spellStart"/>
            <w:r w:rsidRPr="005A1EF3">
              <w:rPr>
                <w:rFonts w:eastAsiaTheme="minorHAnsi"/>
                <w:lang w:eastAsia="en-US"/>
              </w:rPr>
              <w:t>közterület</w:t>
            </w:r>
            <w:proofErr w:type="spellEnd"/>
            <w:proofErr w:type="gramEnd"/>
            <w:r w:rsidRPr="005A1EF3">
              <w:rPr>
                <w:rFonts w:eastAsiaTheme="minorHAnsi"/>
                <w:lang w:eastAsia="en-US"/>
              </w:rPr>
              <w:t xml:space="preserve"> jelleg ___ hsz. ___ ép. ___ </w:t>
            </w:r>
            <w:proofErr w:type="spellStart"/>
            <w:r w:rsidRPr="005A1EF3">
              <w:rPr>
                <w:rFonts w:eastAsiaTheme="minorHAnsi"/>
                <w:lang w:eastAsia="en-US"/>
              </w:rPr>
              <w:t>lh</w:t>
            </w:r>
            <w:proofErr w:type="spellEnd"/>
            <w:r w:rsidRPr="005A1EF3">
              <w:rPr>
                <w:rFonts w:eastAsiaTheme="minorHAnsi"/>
                <w:lang w:eastAsia="en-US"/>
              </w:rPr>
              <w:t>. ___em. ___ajtó.</w:t>
            </w:r>
          </w:p>
          <w:p w:rsidR="00ED31C4" w:rsidRPr="005A1EF3" w:rsidRDefault="00ED31C4" w:rsidP="00ED31C4">
            <w:pPr>
              <w:spacing w:before="40" w:after="40" w:line="276" w:lineRule="auto"/>
              <w:ind w:left="567"/>
              <w:contextualSpacing/>
              <w:rPr>
                <w:rFonts w:eastAsiaTheme="minorHAnsi"/>
                <w:lang w:eastAsia="en-US"/>
              </w:rPr>
            </w:pPr>
          </w:p>
          <w:p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rsidR="00181A76" w:rsidRPr="00216B6B" w:rsidRDefault="00181A76" w:rsidP="005A1EF3">
            <w:pPr>
              <w:pStyle w:val="Listaszerbekezds"/>
              <w:ind w:left="615"/>
            </w:pPr>
          </w:p>
        </w:tc>
      </w:tr>
      <w:tr w:rsidR="00ED31C4" w:rsidRPr="00ED31C4" w:rsidTr="005A1EF3">
        <w:trPr>
          <w:trHeight w:val="60"/>
        </w:trPr>
        <w:tc>
          <w:tcPr>
            <w:tcW w:w="9747" w:type="dxa"/>
            <w:tcBorders>
              <w:top w:val="nil"/>
              <w:bottom w:val="single" w:sz="4" w:space="0" w:color="auto"/>
            </w:tcBorders>
          </w:tcPr>
          <w:p w:rsidR="00ED31C4" w:rsidRPr="00ED31C4" w:rsidRDefault="00ED31C4" w:rsidP="00506E39">
            <w:pPr>
              <w:spacing w:before="40" w:after="40"/>
              <w:ind w:left="567"/>
              <w:contextualSpacing/>
            </w:pP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rsidTr="00B84223">
        <w:trPr>
          <w:trHeight w:val="735"/>
        </w:trPr>
        <w:tc>
          <w:tcPr>
            <w:tcW w:w="9747" w:type="dxa"/>
          </w:tcPr>
          <w:p w:rsidR="00992445" w:rsidRPr="00ED31C4" w:rsidRDefault="00992445" w:rsidP="00B84223">
            <w:pPr>
              <w:ind w:left="1080"/>
              <w:contextualSpacing/>
            </w:pPr>
          </w:p>
          <w:p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rsidR="00992445" w:rsidRPr="00ED31C4" w:rsidRDefault="00992445" w:rsidP="00B84223">
            <w:pPr>
              <w:ind w:left="1080"/>
              <w:contextualSpacing/>
            </w:pPr>
          </w:p>
        </w:tc>
      </w:tr>
      <w:tr w:rsidR="00992445" w:rsidRPr="00ED31C4" w:rsidTr="00B84223">
        <w:trPr>
          <w:trHeight w:val="1365"/>
        </w:trPr>
        <w:tc>
          <w:tcPr>
            <w:tcW w:w="9747" w:type="dxa"/>
            <w:vAlign w:val="center"/>
          </w:tcPr>
          <w:p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rsidR="00992445" w:rsidRPr="00ED31C4" w:rsidRDefault="00992445" w:rsidP="005A1EF3">
            <w:pPr>
              <w:ind w:left="765"/>
              <w:contextualSpacing/>
            </w:pPr>
            <w:r w:rsidRPr="00ED31C4">
              <w:t>Az adatbejelentő vagyoni értékű jogának jellege:</w:t>
            </w:r>
          </w:p>
          <w:p w:rsidR="00992445" w:rsidRPr="00ED31C4" w:rsidRDefault="00992445" w:rsidP="00992445">
            <w:pPr>
              <w:numPr>
                <w:ilvl w:val="1"/>
                <w:numId w:val="5"/>
              </w:numPr>
              <w:contextualSpacing/>
            </w:pPr>
            <w:r w:rsidRPr="005A1EF3">
              <w:rPr>
                <w:sz w:val="32"/>
                <w:szCs w:val="32"/>
              </w:rPr>
              <w:t>□</w:t>
            </w:r>
            <w:r w:rsidRPr="00ED31C4">
              <w:t xml:space="preserve"> Kezelői jog </w:t>
            </w:r>
            <w:r w:rsidRPr="005A1EF3">
              <w:rPr>
                <w:sz w:val="32"/>
                <w:szCs w:val="32"/>
              </w:rPr>
              <w:t>□</w:t>
            </w:r>
            <w:r w:rsidRPr="00ED31C4">
              <w:t xml:space="preserve"> Vagyonkezelői jog </w:t>
            </w:r>
            <w:r w:rsidRPr="005A1EF3">
              <w:rPr>
                <w:sz w:val="32"/>
                <w:szCs w:val="32"/>
              </w:rPr>
              <w:t>□</w:t>
            </w:r>
            <w:r w:rsidRPr="00ED31C4">
              <w:t xml:space="preserve"> Haszonélvezeti jog </w:t>
            </w:r>
            <w:r w:rsidRPr="005A1EF3">
              <w:rPr>
                <w:sz w:val="32"/>
                <w:szCs w:val="32"/>
              </w:rPr>
              <w:t>□</w:t>
            </w:r>
            <w:r w:rsidRPr="00ED31C4">
              <w:t xml:space="preserve"> Használat joga</w:t>
            </w:r>
          </w:p>
          <w:p w:rsidR="00992445" w:rsidRPr="00ED31C4" w:rsidRDefault="00992445" w:rsidP="00B84223">
            <w:pPr>
              <w:ind w:left="765"/>
              <w:contextualSpacing/>
            </w:pP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rsidTr="00B84223">
        <w:trPr>
          <w:trHeight w:val="750"/>
        </w:trPr>
        <w:tc>
          <w:tcPr>
            <w:tcW w:w="9747" w:type="dxa"/>
            <w:gridSpan w:val="6"/>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rsidR="00992445" w:rsidRPr="00ED31C4" w:rsidRDefault="00992445" w:rsidP="00B84223"/>
        </w:tc>
      </w:tr>
      <w:tr w:rsidR="00992445" w:rsidRPr="00ED31C4" w:rsidTr="00B84223">
        <w:trPr>
          <w:trHeight w:val="510"/>
        </w:trPr>
        <w:tc>
          <w:tcPr>
            <w:tcW w:w="9747" w:type="dxa"/>
            <w:gridSpan w:val="6"/>
          </w:tcPr>
          <w:p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rsidTr="00B84223">
        <w:trPr>
          <w:trHeight w:val="386"/>
        </w:trPr>
        <w:tc>
          <w:tcPr>
            <w:tcW w:w="4873" w:type="dxa"/>
            <w:gridSpan w:val="4"/>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rsidTr="00B84223">
        <w:trPr>
          <w:trHeight w:val="502"/>
        </w:trPr>
        <w:tc>
          <w:tcPr>
            <w:tcW w:w="9747" w:type="dxa"/>
            <w:gridSpan w:val="6"/>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rsidTr="00B84223">
        <w:trPr>
          <w:trHeight w:val="230"/>
        </w:trPr>
        <w:tc>
          <w:tcPr>
            <w:tcW w:w="4815" w:type="dxa"/>
            <w:gridSpan w:val="3"/>
            <w:tcBorders>
              <w:bottom w:val="single" w:sz="4" w:space="0" w:color="auto"/>
            </w:tcBorders>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rsidTr="00B84223">
        <w:trPr>
          <w:trHeight w:val="670"/>
        </w:trPr>
        <w:tc>
          <w:tcPr>
            <w:tcW w:w="3249" w:type="dxa"/>
            <w:tcBorders>
              <w:bottom w:val="single" w:sz="4" w:space="0" w:color="auto"/>
            </w:tcBorders>
          </w:tcPr>
          <w:p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rsidTr="00B84223">
        <w:trPr>
          <w:trHeight w:val="896"/>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rsidTr="00B84223">
        <w:trPr>
          <w:trHeight w:val="498"/>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rsidTr="00B84223">
        <w:trPr>
          <w:trHeight w:val="325"/>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rsidTr="00B84223">
        <w:trPr>
          <w:trHeight w:val="705"/>
        </w:trPr>
        <w:tc>
          <w:tcPr>
            <w:tcW w:w="4873" w:type="dxa"/>
            <w:gridSpan w:val="4"/>
            <w:tcBorders>
              <w:bottom w:val="single" w:sz="4" w:space="0" w:color="auto"/>
            </w:tcBorders>
            <w:vAlign w:val="center"/>
          </w:tcPr>
          <w:p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rsidTr="00B84223">
        <w:trPr>
          <w:trHeight w:val="840"/>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rsidTr="00B84223">
        <w:trPr>
          <w:trHeight w:val="292"/>
        </w:trPr>
        <w:tc>
          <w:tcPr>
            <w:tcW w:w="9747" w:type="dxa"/>
            <w:gridSpan w:val="6"/>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rsidTr="00B84223">
        <w:trPr>
          <w:trHeight w:val="555"/>
        </w:trPr>
        <w:tc>
          <w:tcPr>
            <w:tcW w:w="4800" w:type="dxa"/>
            <w:gridSpan w:val="2"/>
            <w:tcBorders>
              <w:bottom w:val="single" w:sz="4" w:space="0" w:color="auto"/>
            </w:tcBorders>
            <w:vAlign w:val="center"/>
          </w:tcPr>
          <w:p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rsidTr="00B84223">
        <w:trPr>
          <w:trHeight w:val="166"/>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rsidTr="00B84223">
        <w:trPr>
          <w:trHeight w:val="741"/>
        </w:trPr>
        <w:tc>
          <w:tcPr>
            <w:tcW w:w="9747" w:type="dxa"/>
            <w:gridSpan w:val="6"/>
          </w:tcPr>
          <w:p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992445" w:rsidRDefault="00992445" w:rsidP="00992445">
      <w:pPr>
        <w:spacing w:line="276" w:lineRule="auto"/>
        <w:rPr>
          <w:lang w:eastAsia="en-US"/>
        </w:rPr>
      </w:pPr>
    </w:p>
    <w:p w:rsidR="00231DFB" w:rsidRDefault="00231DFB" w:rsidP="00992445">
      <w:pPr>
        <w:spacing w:line="276" w:lineRule="auto"/>
        <w:rPr>
          <w:lang w:eastAsia="en-US"/>
        </w:rPr>
      </w:pPr>
    </w:p>
    <w:p w:rsidR="00231DFB" w:rsidRDefault="00231DFB" w:rsidP="00992445">
      <w:pPr>
        <w:spacing w:line="276" w:lineRule="auto"/>
        <w:rPr>
          <w:lang w:eastAsia="en-US"/>
        </w:rPr>
      </w:pPr>
    </w:p>
    <w:p w:rsidR="00231DFB" w:rsidRDefault="00231DFB" w:rsidP="00992445">
      <w:pPr>
        <w:spacing w:line="276" w:lineRule="auto"/>
        <w:rPr>
          <w:lang w:eastAsia="en-US"/>
        </w:rPr>
      </w:pPr>
    </w:p>
    <w:p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rsidTr="00B84223">
        <w:tc>
          <w:tcPr>
            <w:tcW w:w="9747" w:type="dxa"/>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rsidR="00992445" w:rsidRPr="00ED31C4" w:rsidRDefault="00992445" w:rsidP="00B84223"/>
        </w:tc>
      </w:tr>
      <w:tr w:rsidR="00992445" w:rsidRPr="00ED31C4" w:rsidTr="00B84223">
        <w:trPr>
          <w:trHeight w:val="1369"/>
        </w:trPr>
        <w:tc>
          <w:tcPr>
            <w:tcW w:w="9747" w:type="dxa"/>
            <w:tcBorders>
              <w:bottom w:val="single" w:sz="4" w:space="0" w:color="auto"/>
            </w:tcBorders>
            <w:vAlign w:val="center"/>
          </w:tcPr>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p>
        </w:tc>
      </w:tr>
      <w:tr w:rsidR="00992445" w:rsidRPr="00ED31C4" w:rsidTr="00B84223">
        <w:trPr>
          <w:trHeight w:val="703"/>
        </w:trPr>
        <w:tc>
          <w:tcPr>
            <w:tcW w:w="9747" w:type="dxa"/>
            <w:tcBorders>
              <w:bottom w:val="single" w:sz="4" w:space="0" w:color="auto"/>
            </w:tcBorders>
          </w:tcPr>
          <w:p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rsidTr="00B84223">
        <w:trPr>
          <w:trHeight w:val="615"/>
        </w:trPr>
        <w:tc>
          <w:tcPr>
            <w:tcW w:w="9747" w:type="dxa"/>
            <w:gridSpan w:val="5"/>
            <w:tcBorders>
              <w:bottom w:val="single" w:sz="4" w:space="0" w:color="auto"/>
            </w:tcBorders>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rsidR="00992445" w:rsidRPr="00ED31C4" w:rsidRDefault="00992445" w:rsidP="00B84223">
            <w:pPr>
              <w:ind w:left="1080"/>
              <w:contextualSpacing/>
              <w:rPr>
                <w:b/>
              </w:rPr>
            </w:pPr>
          </w:p>
        </w:tc>
      </w:tr>
      <w:tr w:rsidR="00992445" w:rsidRPr="00ED31C4" w:rsidTr="00B84223">
        <w:trPr>
          <w:trHeight w:val="390"/>
        </w:trPr>
        <w:tc>
          <w:tcPr>
            <w:tcW w:w="9747" w:type="dxa"/>
            <w:gridSpan w:val="5"/>
            <w:tcBorders>
              <w:bottom w:val="single" w:sz="4" w:space="0" w:color="auto"/>
            </w:tcBorders>
          </w:tcPr>
          <w:p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rsidTr="00B84223">
        <w:trPr>
          <w:trHeight w:val="480"/>
        </w:trPr>
        <w:tc>
          <w:tcPr>
            <w:tcW w:w="4873" w:type="dxa"/>
            <w:gridSpan w:val="3"/>
            <w:vAlign w:val="center"/>
          </w:tcPr>
          <w:p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rsidTr="00B84223">
        <w:trPr>
          <w:trHeight w:val="365"/>
        </w:trPr>
        <w:tc>
          <w:tcPr>
            <w:tcW w:w="9747" w:type="dxa"/>
            <w:gridSpan w:val="5"/>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rsidTr="00B84223">
        <w:trPr>
          <w:trHeight w:val="540"/>
        </w:trPr>
        <w:tc>
          <w:tcPr>
            <w:tcW w:w="4873" w:type="dxa"/>
            <w:gridSpan w:val="3"/>
            <w:vAlign w:val="center"/>
          </w:tcPr>
          <w:p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rsidTr="00B84223">
        <w:trPr>
          <w:trHeight w:val="488"/>
        </w:trPr>
        <w:tc>
          <w:tcPr>
            <w:tcW w:w="3249" w:type="dxa"/>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rsidTr="00B84223">
        <w:trPr>
          <w:trHeight w:val="742"/>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rsidTr="00B84223">
        <w:trPr>
          <w:trHeight w:val="1110"/>
        </w:trPr>
        <w:tc>
          <w:tcPr>
            <w:tcW w:w="4800" w:type="dxa"/>
            <w:gridSpan w:val="2"/>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rsidTr="00B84223">
        <w:trPr>
          <w:trHeight w:val="830"/>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rsidTr="00B84223">
        <w:trPr>
          <w:trHeight w:val="968"/>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 xml:space="preserve">teleknek minősülő földterület esetében a földterületnek az ingatlan-nyilvántartásban </w:t>
            </w:r>
            <w:proofErr w:type="gramStart"/>
            <w:r w:rsidR="00992445" w:rsidRPr="00ED31C4">
              <w:t>erdő művelési</w:t>
            </w:r>
            <w:proofErr w:type="gramEnd"/>
            <w:r w:rsidR="00992445" w:rsidRPr="00ED31C4">
              <w:t xml:space="preserve"> ágra történő átvezetése vagy az Országos Erdőállomány Adattárba történő bejegyzése</w:t>
            </w:r>
          </w:p>
        </w:tc>
      </w:tr>
      <w:tr w:rsidR="00992445" w:rsidRPr="00ED31C4" w:rsidTr="00B84223">
        <w:trPr>
          <w:trHeight w:val="430"/>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rsidTr="00B84223">
        <w:trPr>
          <w:trHeight w:val="649"/>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rsidR="00992445" w:rsidRPr="00ED31C4" w:rsidRDefault="00992445" w:rsidP="00B84223">
            <w:pPr>
              <w:autoSpaceDE w:val="0"/>
              <w:autoSpaceDN w:val="0"/>
              <w:adjustRightInd w:val="0"/>
              <w:jc w:val="both"/>
              <w:rPr>
                <w:i/>
                <w:iCs/>
              </w:rPr>
            </w:pPr>
          </w:p>
        </w:tc>
      </w:tr>
      <w:tr w:rsidR="00992445" w:rsidRPr="00ED31C4" w:rsidTr="00B84223">
        <w:trPr>
          <w:trHeight w:val="670"/>
        </w:trPr>
        <w:tc>
          <w:tcPr>
            <w:tcW w:w="9747" w:type="dxa"/>
            <w:gridSpan w:val="5"/>
          </w:tcPr>
          <w:p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992445" w:rsidRDefault="00992445" w:rsidP="00992445">
      <w:pPr>
        <w:spacing w:line="276" w:lineRule="auto"/>
        <w:rPr>
          <w:lang w:eastAsia="en-US"/>
        </w:rPr>
      </w:pPr>
    </w:p>
    <w:p w:rsidR="00231DFB" w:rsidRDefault="00231DFB" w:rsidP="00992445">
      <w:pPr>
        <w:spacing w:line="276" w:lineRule="auto"/>
        <w:rPr>
          <w:lang w:eastAsia="en-US"/>
        </w:rPr>
      </w:pPr>
    </w:p>
    <w:p w:rsidR="00231DFB" w:rsidRDefault="00231DFB" w:rsidP="00992445">
      <w:pPr>
        <w:spacing w:line="276" w:lineRule="auto"/>
        <w:rPr>
          <w:lang w:eastAsia="en-US"/>
        </w:rPr>
      </w:pPr>
    </w:p>
    <w:p w:rsidR="00231DFB" w:rsidRDefault="00231DFB" w:rsidP="00992445">
      <w:pPr>
        <w:spacing w:line="276" w:lineRule="auto"/>
        <w:rPr>
          <w:lang w:eastAsia="en-US"/>
        </w:rPr>
      </w:pPr>
    </w:p>
    <w:p w:rsidR="00231DFB" w:rsidRDefault="00231DFB" w:rsidP="00992445">
      <w:pPr>
        <w:spacing w:line="276" w:lineRule="auto"/>
        <w:rPr>
          <w:lang w:eastAsia="en-US"/>
        </w:rPr>
      </w:pPr>
    </w:p>
    <w:p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rsidTr="005A1EF3">
        <w:trPr>
          <w:trHeight w:val="630"/>
        </w:trPr>
        <w:tc>
          <w:tcPr>
            <w:tcW w:w="9781" w:type="dxa"/>
            <w:tcBorders>
              <w:bottom w:val="single" w:sz="4" w:space="0" w:color="auto"/>
            </w:tcBorders>
          </w:tcPr>
          <w:p w:rsidR="00992445" w:rsidRPr="00ED31C4" w:rsidRDefault="00992445" w:rsidP="00B84223">
            <w:pPr>
              <w:ind w:left="1080"/>
              <w:contextualSpacing/>
            </w:pPr>
          </w:p>
          <w:p w:rsidR="00992445" w:rsidRPr="00ED31C4" w:rsidRDefault="00992445" w:rsidP="00426F1F">
            <w:pPr>
              <w:pStyle w:val="Listaszerbekezds"/>
              <w:numPr>
                <w:ilvl w:val="0"/>
                <w:numId w:val="9"/>
              </w:numPr>
            </w:pPr>
            <w:r w:rsidRPr="00ED31C4">
              <w:rPr>
                <w:b/>
              </w:rPr>
              <w:t>Az adótárgy címe:</w:t>
            </w:r>
          </w:p>
          <w:p w:rsidR="00992445" w:rsidRPr="00ED31C4" w:rsidRDefault="00992445" w:rsidP="00B84223">
            <w:pPr>
              <w:ind w:left="1080"/>
              <w:contextualSpacing/>
            </w:pPr>
          </w:p>
        </w:tc>
      </w:tr>
      <w:tr w:rsidR="00992445" w:rsidRPr="00ED31C4" w:rsidTr="005A1EF3">
        <w:trPr>
          <w:trHeight w:val="850"/>
        </w:trPr>
        <w:tc>
          <w:tcPr>
            <w:tcW w:w="9781" w:type="dxa"/>
            <w:tcBorders>
              <w:top w:val="single" w:sz="4" w:space="0" w:color="auto"/>
              <w:bottom w:val="single" w:sz="4" w:space="0" w:color="auto"/>
            </w:tcBorders>
          </w:tcPr>
          <w:p w:rsidR="00992445" w:rsidRPr="00ED31C4" w:rsidRDefault="00992445" w:rsidP="00B84223">
            <w:pPr>
              <w:ind w:left="720"/>
              <w:contextualSpacing/>
            </w:pPr>
          </w:p>
          <w:p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rsidR="00992445" w:rsidRPr="00ED31C4" w:rsidRDefault="00992445" w:rsidP="00B84223">
            <w:pPr>
              <w:spacing w:before="40" w:after="40"/>
              <w:ind w:left="567"/>
              <w:contextualSpacing/>
            </w:pPr>
            <w:r w:rsidRPr="00ED31C4">
              <w:t xml:space="preserve">   _____________ </w:t>
            </w:r>
            <w:proofErr w:type="gramStart"/>
            <w:r w:rsidRPr="00ED31C4">
              <w:t xml:space="preserve">közterület  ____ </w:t>
            </w:r>
            <w:proofErr w:type="spellStart"/>
            <w:r w:rsidRPr="00ED31C4">
              <w:t>közterület</w:t>
            </w:r>
            <w:proofErr w:type="spellEnd"/>
            <w:proofErr w:type="gramEnd"/>
            <w:r w:rsidRPr="00ED31C4">
              <w:t xml:space="preserve"> jelleg ___ hsz. ___ ép. ___ </w:t>
            </w:r>
            <w:proofErr w:type="spellStart"/>
            <w:r w:rsidRPr="00ED31C4">
              <w:t>lh</w:t>
            </w:r>
            <w:proofErr w:type="spellEnd"/>
            <w:r w:rsidRPr="00ED31C4">
              <w:t>. ___em. ___ajtó.</w:t>
            </w:r>
          </w:p>
          <w:p w:rsidR="00992445" w:rsidRPr="00ED31C4" w:rsidRDefault="00992445" w:rsidP="00B84223">
            <w:pPr>
              <w:spacing w:before="40" w:after="40"/>
              <w:contextualSpacing/>
            </w:pPr>
          </w:p>
          <w:p w:rsidR="00992445" w:rsidRPr="00ED31C4" w:rsidRDefault="00992445" w:rsidP="00992445">
            <w:pPr>
              <w:numPr>
                <w:ilvl w:val="0"/>
                <w:numId w:val="7"/>
              </w:numPr>
              <w:contextualSpacing/>
            </w:pPr>
            <w:r w:rsidRPr="00ED31C4">
              <w:t>Helyrajzi szám: _________/_________/_________/_________.</w:t>
            </w:r>
          </w:p>
          <w:p w:rsidR="00992445" w:rsidRPr="00ED31C4" w:rsidRDefault="00992445" w:rsidP="00B84223"/>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rsidTr="00B84223">
        <w:tc>
          <w:tcPr>
            <w:tcW w:w="9747" w:type="dxa"/>
            <w:gridSpan w:val="4"/>
          </w:tcPr>
          <w:p w:rsidR="00992445" w:rsidRPr="00ED31C4" w:rsidRDefault="00992445" w:rsidP="00B84223"/>
          <w:p w:rsidR="00992445" w:rsidRPr="00ED31C4" w:rsidRDefault="00992445" w:rsidP="00426F1F">
            <w:pPr>
              <w:pStyle w:val="Listaszerbekezds"/>
              <w:numPr>
                <w:ilvl w:val="0"/>
                <w:numId w:val="9"/>
              </w:numPr>
              <w:rPr>
                <w:b/>
              </w:rPr>
            </w:pPr>
            <w:r w:rsidRPr="00ED31C4">
              <w:rPr>
                <w:b/>
              </w:rPr>
              <w:t>Egy helyrajzi számon található adótárgyak fajtája és száma:</w:t>
            </w:r>
          </w:p>
          <w:p w:rsidR="00992445" w:rsidRPr="00ED31C4" w:rsidRDefault="00992445" w:rsidP="00B84223"/>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Üdülő:</w:t>
            </w:r>
          </w:p>
        </w:tc>
        <w:tc>
          <w:tcPr>
            <w:tcW w:w="1418" w:type="dxa"/>
            <w:vAlign w:val="center"/>
          </w:tcPr>
          <w:p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93"/>
              <w:contextualSpacing/>
            </w:pPr>
            <w:r w:rsidRPr="00ED31C4">
              <w:t>Kereskedelmi egység:</w:t>
            </w:r>
          </w:p>
        </w:tc>
        <w:tc>
          <w:tcPr>
            <w:tcW w:w="1417" w:type="dxa"/>
            <w:vAlign w:val="center"/>
          </w:tcPr>
          <w:p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Szállásépület:</w:t>
            </w:r>
          </w:p>
        </w:tc>
        <w:tc>
          <w:tcPr>
            <w:tcW w:w="1418" w:type="dxa"/>
            <w:vAlign w:val="center"/>
          </w:tcPr>
          <w:p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60"/>
              <w:contextualSpacing/>
              <w:rPr>
                <w:b/>
              </w:rPr>
            </w:pPr>
            <w:r w:rsidRPr="00ED31C4">
              <w:t xml:space="preserve">Nem magánszemély tulajdonában álló </w:t>
            </w:r>
            <w:proofErr w:type="gramStart"/>
            <w:r w:rsidRPr="00ED31C4">
              <w:t>lakás bérleti</w:t>
            </w:r>
            <w:proofErr w:type="gramEnd"/>
            <w:r w:rsidRPr="00ED31C4">
              <w:t xml:space="preserve"> joga:</w:t>
            </w:r>
          </w:p>
        </w:tc>
        <w:tc>
          <w:tcPr>
            <w:tcW w:w="1417" w:type="dxa"/>
            <w:vAlign w:val="center"/>
          </w:tcPr>
          <w:p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rsidTr="00B84223">
        <w:trPr>
          <w:trHeight w:val="1020"/>
        </w:trPr>
        <w:tc>
          <w:tcPr>
            <w:tcW w:w="9747" w:type="dxa"/>
          </w:tcPr>
          <w:p w:rsidR="00992445" w:rsidRPr="00ED31C4" w:rsidRDefault="00992445" w:rsidP="00B84223">
            <w:pPr>
              <w:ind w:left="1080"/>
              <w:contextualSpacing/>
            </w:pPr>
          </w:p>
          <w:p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rsidR="00992445" w:rsidRPr="00ED31C4" w:rsidRDefault="00992445" w:rsidP="00B84223">
            <w:pPr>
              <w:ind w:left="1080"/>
              <w:contextualSpacing/>
            </w:pPr>
          </w:p>
        </w:tc>
      </w:tr>
      <w:tr w:rsidR="00992445" w:rsidRPr="00ED31C4" w:rsidTr="00B84223">
        <w:trPr>
          <w:trHeight w:val="1274"/>
        </w:trPr>
        <w:tc>
          <w:tcPr>
            <w:tcW w:w="9747" w:type="dxa"/>
          </w:tcPr>
          <w:p w:rsidR="00992445" w:rsidRPr="00ED31C4" w:rsidRDefault="00992445" w:rsidP="00B84223"/>
          <w:p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rsidR="00992445" w:rsidRPr="00ED31C4" w:rsidRDefault="00992445" w:rsidP="00B84223"/>
          <w:p w:rsidR="00992445" w:rsidRPr="00ED31C4" w:rsidRDefault="00992445" w:rsidP="00992445">
            <w:pPr>
              <w:numPr>
                <w:ilvl w:val="0"/>
                <w:numId w:val="8"/>
              </w:numPr>
              <w:contextualSpacing/>
            </w:pPr>
            <w:r w:rsidRPr="00ED31C4">
              <w:t>Önkormányzati rendeleti adókedvezmény ______________________________________jogcímen.</w:t>
            </w:r>
          </w:p>
          <w:p w:rsidR="00992445" w:rsidRPr="00ED31C4" w:rsidRDefault="00992445" w:rsidP="00B84223">
            <w:pPr>
              <w:ind w:left="1080"/>
              <w:contextualSpacing/>
            </w:pPr>
          </w:p>
        </w:tc>
      </w:tr>
    </w:tbl>
    <w:p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rsidTr="00E25AFE">
        <w:trPr>
          <w:trHeight w:val="750"/>
        </w:trPr>
        <w:tc>
          <w:tcPr>
            <w:tcW w:w="9791" w:type="dxa"/>
          </w:tcPr>
          <w:p w:rsidR="00992445" w:rsidRPr="00ED31C4" w:rsidRDefault="00992445" w:rsidP="00E25AFE">
            <w:pPr>
              <w:ind w:left="1080"/>
              <w:contextualSpacing/>
            </w:pPr>
          </w:p>
          <w:p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rsidR="00992445" w:rsidRPr="00ED31C4" w:rsidRDefault="00992445" w:rsidP="00E25AFE">
            <w:pPr>
              <w:ind w:left="1080"/>
              <w:contextualSpacing/>
            </w:pPr>
          </w:p>
        </w:tc>
      </w:tr>
      <w:tr w:rsidR="00E25AFE" w:rsidRPr="00ED31C4" w:rsidTr="00E25AFE">
        <w:trPr>
          <w:trHeight w:val="525"/>
        </w:trPr>
        <w:tc>
          <w:tcPr>
            <w:tcW w:w="9791" w:type="dxa"/>
          </w:tcPr>
          <w:p w:rsidR="00992445" w:rsidRPr="00ED31C4" w:rsidRDefault="00992445" w:rsidP="00E25AFE"/>
          <w:p w:rsidR="00992445" w:rsidRPr="00ED31C4" w:rsidRDefault="00992445" w:rsidP="00E25AFE">
            <w:r w:rsidRPr="00ED31C4">
              <w:t>_________________________________________________________________________</w:t>
            </w:r>
          </w:p>
          <w:p w:rsidR="00992445" w:rsidRPr="00ED31C4" w:rsidRDefault="00992445" w:rsidP="00E25AFE"/>
          <w:p w:rsidR="00992445" w:rsidRPr="00ED31C4" w:rsidRDefault="00992445" w:rsidP="00E25AFE">
            <w:r w:rsidRPr="00ED31C4">
              <w:t>_________________________________________________________________________</w:t>
            </w:r>
          </w:p>
          <w:p w:rsidR="00992445" w:rsidRPr="00ED31C4" w:rsidRDefault="00992445" w:rsidP="00E25AFE"/>
          <w:p w:rsidR="00992445" w:rsidRPr="00ED31C4" w:rsidRDefault="00992445" w:rsidP="00E25AFE">
            <w:r w:rsidRPr="00ED31C4">
              <w:t>________________________________________________________________________</w:t>
            </w:r>
          </w:p>
          <w:p w:rsidR="00992445" w:rsidRPr="00ED31C4" w:rsidRDefault="00992445" w:rsidP="00E25AFE"/>
          <w:p w:rsidR="00992445" w:rsidRPr="00ED31C4" w:rsidRDefault="00992445" w:rsidP="00E25AFE">
            <w:r w:rsidRPr="00ED31C4">
              <w:t>_________________________________________________________________________</w:t>
            </w:r>
          </w:p>
          <w:p w:rsidR="00992445" w:rsidRPr="00ED31C4" w:rsidRDefault="00992445" w:rsidP="00E25AFE"/>
          <w:p w:rsidR="00992445" w:rsidRPr="00ED31C4" w:rsidRDefault="00992445" w:rsidP="00E25AFE">
            <w:r w:rsidRPr="00ED31C4">
              <w:t>_________________________________________________________________________</w:t>
            </w:r>
          </w:p>
          <w:p w:rsidR="00992445" w:rsidRPr="00ED31C4" w:rsidRDefault="00992445" w:rsidP="00E25AFE"/>
          <w:p w:rsidR="00992445" w:rsidRPr="00ED31C4" w:rsidRDefault="00992445" w:rsidP="00E25AFE">
            <w:pPr>
              <w:ind w:left="1080"/>
              <w:contextualSpacing/>
            </w:pPr>
          </w:p>
        </w:tc>
      </w:tr>
    </w:tbl>
    <w:p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rsidTr="00B84223">
        <w:trPr>
          <w:trHeight w:val="990"/>
        </w:trPr>
        <w:tc>
          <w:tcPr>
            <w:tcW w:w="9781" w:type="dxa"/>
            <w:gridSpan w:val="6"/>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rsidR="00992445" w:rsidRPr="00ED31C4" w:rsidRDefault="00992445" w:rsidP="00B84223">
            <w:pPr>
              <w:ind w:left="1080"/>
              <w:contextualSpacing/>
              <w:rPr>
                <w:lang w:val="en-US"/>
              </w:rPr>
            </w:pPr>
          </w:p>
        </w:tc>
      </w:tr>
      <w:tr w:rsidR="00992445" w:rsidRPr="00ED31C4" w:rsidTr="00B84223">
        <w:trPr>
          <w:trHeight w:val="1062"/>
        </w:trPr>
        <w:tc>
          <w:tcPr>
            <w:tcW w:w="2977" w:type="dxa"/>
            <w:vAlign w:val="center"/>
          </w:tcPr>
          <w:p w:rsidR="00992445" w:rsidRPr="00ED31C4" w:rsidRDefault="00992445" w:rsidP="00B84223">
            <w:pPr>
              <w:jc w:val="center"/>
              <w:rPr>
                <w:b/>
              </w:rPr>
            </w:pPr>
            <w:r w:rsidRPr="00ED31C4">
              <w:t>_____________________</w:t>
            </w:r>
          </w:p>
          <w:p w:rsidR="00992445" w:rsidRPr="00ED31C4" w:rsidRDefault="00992445" w:rsidP="00B84223">
            <w:pPr>
              <w:jc w:val="center"/>
              <w:rPr>
                <w:b/>
              </w:rPr>
            </w:pPr>
            <w:r w:rsidRPr="00ED31C4">
              <w:t>helység</w:t>
            </w:r>
          </w:p>
        </w:tc>
        <w:tc>
          <w:tcPr>
            <w:tcW w:w="1418" w:type="dxa"/>
            <w:vAlign w:val="center"/>
          </w:tcPr>
          <w:p w:rsidR="00992445" w:rsidRPr="00ED31C4" w:rsidRDefault="00992445" w:rsidP="00B84223">
            <w:pPr>
              <w:jc w:val="center"/>
              <w:rPr>
                <w:b/>
              </w:rPr>
            </w:pPr>
          </w:p>
          <w:p w:rsidR="00992445" w:rsidRPr="005A1EF3" w:rsidRDefault="00992445" w:rsidP="00B84223">
            <w:pPr>
              <w:jc w:val="center"/>
              <w:rPr>
                <w:rFonts w:eastAsia="Calibri"/>
                <w:sz w:val="44"/>
                <w:szCs w:val="44"/>
              </w:rPr>
            </w:pPr>
            <w:r w:rsidRPr="005A1EF3">
              <w:rPr>
                <w:rFonts w:eastAsia="Calibri"/>
                <w:sz w:val="44"/>
                <w:szCs w:val="44"/>
              </w:rPr>
              <w:t>□□□□</w:t>
            </w:r>
          </w:p>
          <w:p w:rsidR="00992445" w:rsidRPr="00ED31C4" w:rsidRDefault="00992445" w:rsidP="00B84223">
            <w:pPr>
              <w:jc w:val="center"/>
            </w:pPr>
            <w:r w:rsidRPr="00ED31C4">
              <w:t>év</w:t>
            </w:r>
          </w:p>
        </w:tc>
        <w:tc>
          <w:tcPr>
            <w:tcW w:w="850" w:type="dxa"/>
            <w:gridSpan w:val="2"/>
            <w:vAlign w:val="center"/>
          </w:tcPr>
          <w:p w:rsidR="00992445" w:rsidRPr="00ED31C4" w:rsidRDefault="00992445" w:rsidP="00B84223">
            <w:pPr>
              <w:jc w:val="center"/>
              <w:rPr>
                <w:b/>
              </w:rPr>
            </w:pPr>
          </w:p>
          <w:p w:rsidR="00992445" w:rsidRPr="005A1EF3" w:rsidRDefault="00992445" w:rsidP="00B84223">
            <w:pPr>
              <w:jc w:val="center"/>
              <w:rPr>
                <w:rFonts w:eastAsia="Calibri"/>
                <w:sz w:val="44"/>
                <w:szCs w:val="44"/>
              </w:rPr>
            </w:pPr>
            <w:r w:rsidRPr="005A1EF3">
              <w:rPr>
                <w:rFonts w:eastAsia="Calibri"/>
                <w:sz w:val="44"/>
                <w:szCs w:val="44"/>
              </w:rPr>
              <w:t>□□</w:t>
            </w:r>
          </w:p>
          <w:p w:rsidR="00992445" w:rsidRPr="00ED31C4" w:rsidRDefault="00992445" w:rsidP="00B84223">
            <w:pPr>
              <w:jc w:val="center"/>
            </w:pPr>
            <w:r w:rsidRPr="00ED31C4">
              <w:t>hó</w:t>
            </w:r>
          </w:p>
        </w:tc>
        <w:tc>
          <w:tcPr>
            <w:tcW w:w="851" w:type="dxa"/>
            <w:vAlign w:val="center"/>
          </w:tcPr>
          <w:p w:rsidR="00992445" w:rsidRPr="00ED31C4" w:rsidRDefault="00992445" w:rsidP="00B84223">
            <w:pPr>
              <w:jc w:val="center"/>
              <w:rPr>
                <w:b/>
              </w:rPr>
            </w:pPr>
          </w:p>
          <w:p w:rsidR="00992445" w:rsidRPr="005A1EF3" w:rsidRDefault="00992445" w:rsidP="00B84223">
            <w:pPr>
              <w:jc w:val="center"/>
              <w:rPr>
                <w:rFonts w:eastAsia="Calibri"/>
                <w:sz w:val="44"/>
                <w:szCs w:val="44"/>
              </w:rPr>
            </w:pPr>
            <w:r w:rsidRPr="005A1EF3">
              <w:rPr>
                <w:rFonts w:eastAsia="Calibri"/>
                <w:sz w:val="44"/>
                <w:szCs w:val="44"/>
              </w:rPr>
              <w:t>□□</w:t>
            </w:r>
          </w:p>
          <w:p w:rsidR="00992445" w:rsidRPr="00ED31C4" w:rsidRDefault="00992445" w:rsidP="00B84223">
            <w:pPr>
              <w:jc w:val="center"/>
            </w:pPr>
            <w:r w:rsidRPr="00ED31C4">
              <w:t>nap</w:t>
            </w:r>
          </w:p>
        </w:tc>
        <w:tc>
          <w:tcPr>
            <w:tcW w:w="3685" w:type="dxa"/>
            <w:vAlign w:val="center"/>
          </w:tcPr>
          <w:p w:rsidR="00992445" w:rsidRPr="00ED31C4" w:rsidRDefault="00992445" w:rsidP="00B84223">
            <w:pPr>
              <w:contextualSpacing/>
              <w:jc w:val="center"/>
            </w:pPr>
          </w:p>
          <w:p w:rsidR="00992445" w:rsidRPr="00ED31C4" w:rsidRDefault="00992445" w:rsidP="00B84223">
            <w:pPr>
              <w:contextualSpacing/>
              <w:jc w:val="center"/>
            </w:pPr>
            <w:r w:rsidRPr="00ED31C4">
              <w:t>_________________________</w:t>
            </w:r>
          </w:p>
          <w:p w:rsidR="00992445" w:rsidRPr="00ED31C4" w:rsidRDefault="00992445" w:rsidP="00B84223">
            <w:pPr>
              <w:contextualSpacing/>
              <w:jc w:val="center"/>
              <w:rPr>
                <w:b/>
              </w:rPr>
            </w:pPr>
            <w:r w:rsidRPr="00ED31C4">
              <w:t>Az adatbejelentő vagy képviselője (meghatalmazottja) aláírása</w:t>
            </w:r>
          </w:p>
        </w:tc>
      </w:tr>
      <w:tr w:rsidR="00992445" w:rsidRPr="00ED31C4" w:rsidTr="00B84223">
        <w:trPr>
          <w:trHeight w:val="425"/>
        </w:trPr>
        <w:tc>
          <w:tcPr>
            <w:tcW w:w="9781" w:type="dxa"/>
            <w:gridSpan w:val="6"/>
            <w:vAlign w:val="center"/>
          </w:tcPr>
          <w:p w:rsidR="00992445" w:rsidRPr="00ED31C4" w:rsidRDefault="00992445" w:rsidP="00B84223">
            <w:pPr>
              <w:contextualSpacing/>
              <w:rPr>
                <w:lang w:val="en-US"/>
              </w:rPr>
            </w:pPr>
            <w:r w:rsidRPr="00ED31C4">
              <w:rPr>
                <w:rFonts w:eastAsia="Calibri"/>
              </w:rPr>
              <w:t>Jelölje X-szel:</w:t>
            </w:r>
          </w:p>
        </w:tc>
      </w:tr>
      <w:tr w:rsidR="00992445" w:rsidRPr="00ED31C4" w:rsidTr="00B84223">
        <w:tc>
          <w:tcPr>
            <w:tcW w:w="4444" w:type="dxa"/>
            <w:gridSpan w:val="3"/>
            <w:vMerge w:val="restart"/>
          </w:tcPr>
          <w:p w:rsidR="00992445" w:rsidRPr="00ED31C4" w:rsidRDefault="00992445" w:rsidP="00B84223">
            <w:pPr>
              <w:rPr>
                <w:lang w:val="en-US"/>
              </w:rPr>
            </w:pPr>
          </w:p>
        </w:tc>
        <w:tc>
          <w:tcPr>
            <w:tcW w:w="5337" w:type="dxa"/>
            <w:gridSpan w:val="3"/>
          </w:tcPr>
          <w:p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rsidTr="00B84223">
        <w:tc>
          <w:tcPr>
            <w:tcW w:w="4444" w:type="dxa"/>
            <w:gridSpan w:val="3"/>
            <w:vMerge/>
          </w:tcPr>
          <w:p w:rsidR="00992445" w:rsidRPr="00ED31C4" w:rsidRDefault="00992445" w:rsidP="00B84223">
            <w:pPr>
              <w:rPr>
                <w:lang w:val="en-US"/>
              </w:rPr>
            </w:pPr>
          </w:p>
        </w:tc>
        <w:tc>
          <w:tcPr>
            <w:tcW w:w="5337" w:type="dxa"/>
            <w:gridSpan w:val="3"/>
          </w:tcPr>
          <w:p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rsidTr="00B84223">
        <w:tc>
          <w:tcPr>
            <w:tcW w:w="4444" w:type="dxa"/>
            <w:gridSpan w:val="3"/>
            <w:vMerge/>
          </w:tcPr>
          <w:p w:rsidR="00992445" w:rsidRPr="00ED31C4" w:rsidRDefault="00992445" w:rsidP="00B84223">
            <w:pPr>
              <w:rPr>
                <w:lang w:val="en-US"/>
              </w:rPr>
            </w:pPr>
          </w:p>
        </w:tc>
        <w:tc>
          <w:tcPr>
            <w:tcW w:w="5337" w:type="dxa"/>
            <w:gridSpan w:val="3"/>
          </w:tcPr>
          <w:p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rsidR="00BF3B47" w:rsidRPr="00ED31C4" w:rsidRDefault="00BF3B47"/>
    <w:p w:rsidR="00CE5280" w:rsidRPr="00ED31C4"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 xml:space="preserve">Kinek kell </w:t>
      </w:r>
      <w:proofErr w:type="spellStart"/>
      <w:r w:rsidRPr="002F3BF6">
        <w:rPr>
          <w:rFonts w:eastAsia="Arial"/>
          <w:b/>
          <w:i/>
          <w:color w:val="1A171C"/>
          <w:shd w:val="clear" w:color="auto" w:fill="FFFFFF"/>
          <w:lang w:bidi="hu-HU"/>
        </w:rPr>
        <w:t>adatbejelentési</w:t>
      </w:r>
      <w:proofErr w:type="spellEnd"/>
      <w:r w:rsidRPr="002F3BF6">
        <w:rPr>
          <w:rFonts w:eastAsia="Arial"/>
          <w:b/>
          <w:i/>
          <w:color w:val="1A171C"/>
          <w:shd w:val="clear" w:color="auto" w:fill="FFFFFF"/>
          <w:lang w:bidi="hu-HU"/>
        </w:rPr>
        <w:t xml:space="preserve">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 xml:space="preserve">Az </w:t>
      </w:r>
      <w:proofErr w:type="spellStart"/>
      <w:r>
        <w:rPr>
          <w:rFonts w:eastAsia="Arial"/>
          <w:color w:val="1A171C"/>
          <w:shd w:val="clear" w:color="auto" w:fill="FFFFFF"/>
          <w:lang w:bidi="hu-HU"/>
        </w:rPr>
        <w:t>adatbejelentési</w:t>
      </w:r>
      <w:proofErr w:type="spellEnd"/>
      <w:r>
        <w:rPr>
          <w:rFonts w:eastAsia="Arial"/>
          <w:color w:val="1A171C"/>
          <w:shd w:val="clear" w:color="auto" w:fill="FFFFFF"/>
          <w:lang w:bidi="hu-HU"/>
        </w:rPr>
        <w:t xml:space="preserve">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C17E1" w:rsidRDefault="008C17E1" w:rsidP="008C17E1">
      <w:pPr>
        <w:autoSpaceDE w:val="0"/>
        <w:autoSpaceDN w:val="0"/>
        <w:adjustRightInd w:val="0"/>
        <w:jc w:val="both"/>
      </w:pPr>
    </w:p>
    <w:p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r w:rsidRPr="008C17E1">
        <w:rPr>
          <w:rFonts w:eastAsia="Arial"/>
          <w:b/>
          <w:bCs/>
        </w:rPr>
        <w:t xml:space="preserve"> </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lastRenderedPageBreak/>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E5280" w:rsidRPr="003B4FB5" w:rsidRDefault="00CE5280" w:rsidP="00CE5280">
      <w:pPr>
        <w:autoSpaceDE w:val="0"/>
        <w:autoSpaceDN w:val="0"/>
        <w:adjustRightInd w:val="0"/>
        <w:ind w:firstLine="204"/>
        <w:jc w:val="both"/>
      </w:pPr>
      <w:proofErr w:type="gramStart"/>
      <w:r w:rsidRPr="003B4FB5">
        <w:rPr>
          <w:i/>
          <w:iCs/>
        </w:rPr>
        <w:t>a</w:t>
      </w:r>
      <w:proofErr w:type="gramEnd"/>
      <w:r w:rsidRPr="003B4FB5">
        <w:rPr>
          <w:i/>
          <w:iCs/>
        </w:rPr>
        <w:t xml:space="preserve">) </w:t>
      </w:r>
      <w:proofErr w:type="spellStart"/>
      <w:r w:rsidRPr="003B4FB5">
        <w:t>a</w:t>
      </w:r>
      <w:proofErr w:type="spellEnd"/>
      <w:r w:rsidRPr="003B4FB5">
        <w:t xml:space="preserve">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proofErr w:type="gramStart"/>
      <w:r w:rsidRPr="003B4FB5">
        <w:rPr>
          <w:i/>
          <w:iCs/>
        </w:rPr>
        <w:t>f</w:t>
      </w:r>
      <w:proofErr w:type="gramEnd"/>
      <w:r w:rsidRPr="003B4FB5">
        <w:rPr>
          <w:i/>
          <w:iCs/>
        </w:rPr>
        <w:t xml:space="preserve">) </w:t>
      </w:r>
      <w:r w:rsidRPr="003B4FB5">
        <w:t>a temetőkről és a temetkezésről szóló törvény temető fogalma alá tartozó földterületet,</w:t>
      </w:r>
    </w:p>
    <w:p w:rsidR="00CE5280" w:rsidRPr="003B4FB5" w:rsidRDefault="00CE5280" w:rsidP="00CE5280">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w:t>
      </w:r>
      <w:proofErr w:type="spellStart"/>
      <w:r w:rsidRPr="00EE0233">
        <w:rPr>
          <w:b/>
        </w:rPr>
        <w:t>adatbejelentési</w:t>
      </w:r>
      <w:proofErr w:type="spellEnd"/>
      <w:r w:rsidRPr="00EE0233">
        <w:rPr>
          <w:b/>
        </w:rPr>
        <w:t xml:space="preserve"> nyomtatvány</w:t>
      </w:r>
      <w:r w:rsidR="00821F13">
        <w:rPr>
          <w:b/>
        </w:rPr>
        <w:t>on jelölni kell</w:t>
      </w: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lastRenderedPageBreak/>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821F13" w:rsidRDefault="00821F13" w:rsidP="00CE5280">
      <w:pPr>
        <w:keepNext/>
        <w:keepLines/>
        <w:widowControl w:val="0"/>
        <w:shd w:val="clear" w:color="auto" w:fill="FFFFFF"/>
        <w:jc w:val="both"/>
        <w:outlineLvl w:val="0"/>
      </w:pPr>
    </w:p>
    <w:p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821F13" w:rsidRDefault="00821F13" w:rsidP="00CE5280">
      <w:pPr>
        <w:contextualSpacing/>
      </w:pPr>
    </w:p>
    <w:p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lastRenderedPageBreak/>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w:t>
      </w:r>
      <w:proofErr w:type="spellStart"/>
      <w:r w:rsidRPr="00CA4AE3">
        <w:t>X-el</w:t>
      </w:r>
      <w:proofErr w:type="spellEnd"/>
      <w:r w:rsidRPr="00CA4AE3">
        <w:t xml:space="preserve">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w:t>
      </w:r>
      <w:proofErr w:type="spellStart"/>
      <w:r>
        <w:t>adatbejelentési</w:t>
      </w:r>
      <w:proofErr w:type="spellEnd"/>
      <w:r>
        <w:t xml:space="preserve">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rsidR="00CE5280" w:rsidRDefault="00CE5280" w:rsidP="00CE5280">
      <w:pPr>
        <w:jc w:val="both"/>
      </w:pPr>
      <w:proofErr w:type="gramStart"/>
      <w:r>
        <w:t>a</w:t>
      </w:r>
      <w:proofErr w:type="gramEnd"/>
      <w:r>
        <w:t xml:space="preserve"> telekadó-kötelezettség</w:t>
      </w:r>
    </w:p>
    <w:p w:rsidR="00CE5280" w:rsidRPr="00B75CEE" w:rsidRDefault="00CE5280" w:rsidP="00CE5280">
      <w:pPr>
        <w:jc w:val="both"/>
      </w:pPr>
      <w:proofErr w:type="gramStart"/>
      <w:r w:rsidRPr="00B75CEE">
        <w:rPr>
          <w:i/>
          <w:iCs/>
        </w:rPr>
        <w:t>a</w:t>
      </w:r>
      <w:proofErr w:type="gramEnd"/>
      <w:r w:rsidRPr="00B75CEE">
        <w:rPr>
          <w:i/>
          <w:iCs/>
        </w:rPr>
        <w:t xml:space="preserve">) </w:t>
      </w:r>
      <w:proofErr w:type="spellStart"/>
      <w:r w:rsidRPr="00B75CEE">
        <w:t>a</w:t>
      </w:r>
      <w:proofErr w:type="spellEnd"/>
      <w:r w:rsidRPr="00B75CEE">
        <w:t xml:space="preserve">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CE5280" w:rsidRPr="00B75CEE" w:rsidRDefault="00CE5280" w:rsidP="00CE5280">
      <w:pPr>
        <w:autoSpaceDE w:val="0"/>
        <w:autoSpaceDN w:val="0"/>
        <w:adjustRightInd w:val="0"/>
        <w:ind w:firstLine="204"/>
        <w:jc w:val="both"/>
      </w:pPr>
      <w:proofErr w:type="gramStart"/>
      <w:r w:rsidRPr="00B75CEE">
        <w:t>követő</w:t>
      </w:r>
      <w:proofErr w:type="gramEnd"/>
      <w:r w:rsidRPr="00B75CEE">
        <w:t xml:space="preserve">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CE5280" w:rsidRPr="00B75CEE" w:rsidRDefault="00CE5280" w:rsidP="00CE5280">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CE5280" w:rsidRPr="001A3A36" w:rsidRDefault="00CE5280" w:rsidP="00CE5280">
      <w:pPr>
        <w:autoSpaceDE w:val="0"/>
        <w:autoSpaceDN w:val="0"/>
        <w:adjustRightInd w:val="0"/>
        <w:jc w:val="both"/>
      </w:pPr>
      <w:proofErr w:type="gramStart"/>
      <w:r w:rsidRPr="00B75CEE">
        <w:t>keletkezik</w:t>
      </w:r>
      <w:proofErr w:type="gramEnd"/>
      <w:r w:rsidRPr="00B75CEE">
        <w:t>.</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lastRenderedPageBreak/>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 xml:space="preserve">Ebben a blokkban kell megjelölni – az egyes sorokban szereplő négyzetbe írt </w:t>
      </w:r>
      <w:proofErr w:type="spellStart"/>
      <w:r>
        <w:t>X-el</w:t>
      </w:r>
      <w:proofErr w:type="spellEnd"/>
      <w:r>
        <w:t xml:space="preserve">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w:t>
      </w:r>
      <w:proofErr w:type="spellStart"/>
      <w:r w:rsidRPr="00B64805">
        <w:t>-a</w:t>
      </w:r>
      <w:proofErr w:type="spellEnd"/>
      <w:r w:rsidRPr="00B64805">
        <w:t xml:space="preserve">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proofErr w:type="gramStart"/>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lastRenderedPageBreak/>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0"/>
  </w:num>
  <w:num w:numId="2">
    <w:abstractNumId w:val="13"/>
  </w:num>
  <w:num w:numId="3">
    <w:abstractNumId w:val="17"/>
  </w:num>
  <w:num w:numId="4">
    <w:abstractNumId w:val="19"/>
  </w:num>
  <w:num w:numId="5">
    <w:abstractNumId w:val="21"/>
  </w:num>
  <w:num w:numId="6">
    <w:abstractNumId w:val="15"/>
  </w:num>
  <w:num w:numId="7">
    <w:abstractNumId w:val="3"/>
  </w:num>
  <w:num w:numId="8">
    <w:abstractNumId w:val="9"/>
  </w:num>
  <w:num w:numId="9">
    <w:abstractNumId w:val="14"/>
  </w:num>
  <w:num w:numId="10">
    <w:abstractNumId w:val="2"/>
  </w:num>
  <w:num w:numId="11">
    <w:abstractNumId w:val="5"/>
  </w:num>
  <w:num w:numId="12">
    <w:abstractNumId w:val="16"/>
  </w:num>
  <w:num w:numId="13">
    <w:abstractNumId w:val="7"/>
  </w:num>
  <w:num w:numId="14">
    <w:abstractNumId w:val="1"/>
  </w:num>
  <w:num w:numId="15">
    <w:abstractNumId w:val="6"/>
  </w:num>
  <w:num w:numId="16">
    <w:abstractNumId w:val="11"/>
  </w:num>
  <w:num w:numId="17">
    <w:abstractNumId w:val="4"/>
  </w:num>
  <w:num w:numId="18">
    <w:abstractNumId w:val="18"/>
  </w:num>
  <w:num w:numId="19">
    <w:abstractNumId w:val="0"/>
  </w:num>
  <w:num w:numId="20">
    <w:abstractNumId w:val="12"/>
  </w:num>
  <w:num w:numId="21">
    <w:abstractNumId w:val="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45"/>
    <w:rsid w:val="00000F8B"/>
    <w:rsid w:val="000F30AF"/>
    <w:rsid w:val="001072C6"/>
    <w:rsid w:val="00181A76"/>
    <w:rsid w:val="001F7521"/>
    <w:rsid w:val="00216B6B"/>
    <w:rsid w:val="00231DFB"/>
    <w:rsid w:val="00417378"/>
    <w:rsid w:val="00420B0A"/>
    <w:rsid w:val="00426F1F"/>
    <w:rsid w:val="00457FA6"/>
    <w:rsid w:val="00590814"/>
    <w:rsid w:val="00591E2B"/>
    <w:rsid w:val="005A1EF3"/>
    <w:rsid w:val="005A4FFA"/>
    <w:rsid w:val="00603288"/>
    <w:rsid w:val="007072AA"/>
    <w:rsid w:val="00707D9D"/>
    <w:rsid w:val="00717348"/>
    <w:rsid w:val="008058CD"/>
    <w:rsid w:val="00821F13"/>
    <w:rsid w:val="00861504"/>
    <w:rsid w:val="008C17E1"/>
    <w:rsid w:val="00937B35"/>
    <w:rsid w:val="0094607A"/>
    <w:rsid w:val="00992445"/>
    <w:rsid w:val="00B63E17"/>
    <w:rsid w:val="00BA1AE2"/>
    <w:rsid w:val="00BF3B47"/>
    <w:rsid w:val="00CC7D51"/>
    <w:rsid w:val="00CD5E6C"/>
    <w:rsid w:val="00CE5280"/>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88F4-0309-4556-BC56-BD8D46B4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3467</Words>
  <Characters>23927</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Kanyó Lóránt István</cp:lastModifiedBy>
  <cp:revision>4</cp:revision>
  <cp:lastPrinted>2021-02-09T16:05:00Z</cp:lastPrinted>
  <dcterms:created xsi:type="dcterms:W3CDTF">2021-03-08T10:27:00Z</dcterms:created>
  <dcterms:modified xsi:type="dcterms:W3CDTF">2021-03-08T10:29:00Z</dcterms:modified>
</cp:coreProperties>
</file>