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88B" w14:textId="77777777" w:rsidR="00D75714" w:rsidRDefault="00D75714" w:rsidP="00D7571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Szigetvár Város Önkormányzata Képviselő-testületének</w:t>
      </w:r>
    </w:p>
    <w:p w14:paraId="09982DCB" w14:textId="77777777" w:rsidR="00D75714" w:rsidRDefault="00D75714" w:rsidP="00D7571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38/2002. (XII. 13.) rendelete</w:t>
      </w:r>
    </w:p>
    <w:p w14:paraId="2E216A70" w14:textId="77777777" w:rsidR="00D75714" w:rsidRDefault="00D75714" w:rsidP="00D75714">
      <w:pPr>
        <w:spacing w:before="480" w:after="3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AZ ÉPÍTMÉNYADÓRÓL</w:t>
      </w:r>
    </w:p>
    <w:p w14:paraId="697511ED" w14:textId="15F2C39E" w:rsidR="00D75714" w:rsidRDefault="00D75714" w:rsidP="00D75714">
      <w:pPr>
        <w:pStyle w:val="Szvegtrzs"/>
        <w:spacing w:before="240" w:after="240" w:line="240" w:lineRule="auto"/>
        <w:jc w:val="both"/>
      </w:pPr>
      <w:r>
        <w:t>Szigetvár Város Önkormányzata Képviselő-testülete az Alaptörvény 32. cikk (1) bekezdés h) pontjában, a Magyarország helyi önkormányzatairól szóló 2011. évi CLXXXIX. törvény 13. § (1) bekezdésének 13. pontjában és a helyi adókról szóló 1990. évi C. törvény 1. § (1) bekezdésében, valamint a 6. §-ában kapott felhatalmazás alapján az alábbi rendeletet alkotja:</w:t>
      </w:r>
      <w:r>
        <w:rPr>
          <w:rStyle w:val="Lbjegyzet-hivatkozs"/>
        </w:rPr>
        <w:footnoteReference w:id="1"/>
      </w:r>
    </w:p>
    <w:p w14:paraId="50C8EABF" w14:textId="77777777" w:rsidR="00D75714" w:rsidRDefault="00D75714" w:rsidP="00D75714">
      <w:pPr>
        <w:spacing w:line="276" w:lineRule="auto"/>
        <w:jc w:val="center"/>
        <w:rPr>
          <w:b/>
          <w:u w:val="single"/>
        </w:rPr>
      </w:pPr>
    </w:p>
    <w:p w14:paraId="46E27768" w14:textId="77777777" w:rsidR="00D75714" w:rsidRDefault="00D75714" w:rsidP="00D75714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I. fejezet</w:t>
      </w:r>
    </w:p>
    <w:p w14:paraId="790B9856" w14:textId="77777777" w:rsidR="00D75714" w:rsidRDefault="00D75714" w:rsidP="00D75714">
      <w:pPr>
        <w:spacing w:line="276" w:lineRule="auto"/>
        <w:jc w:val="center"/>
        <w:rPr>
          <w:b/>
        </w:rPr>
      </w:pPr>
      <w:r>
        <w:rPr>
          <w:b/>
        </w:rPr>
        <w:t>A rendelet hatálya</w:t>
      </w:r>
    </w:p>
    <w:p w14:paraId="4CE006FD" w14:textId="77777777" w:rsidR="00D75714" w:rsidRDefault="00D75714" w:rsidP="00D75714">
      <w:pPr>
        <w:spacing w:after="240" w:line="276" w:lineRule="auto"/>
        <w:jc w:val="center"/>
        <w:rPr>
          <w:b/>
        </w:rPr>
      </w:pPr>
      <w:r>
        <w:rPr>
          <w:b/>
        </w:rPr>
        <w:t>1. §</w:t>
      </w:r>
    </w:p>
    <w:p w14:paraId="4978F98B" w14:textId="77777777" w:rsidR="00D75714" w:rsidRPr="00437B65" w:rsidRDefault="00D75714" w:rsidP="00D75714">
      <w:pPr>
        <w:spacing w:line="276" w:lineRule="auto"/>
        <w:jc w:val="both"/>
      </w:pPr>
      <w:r>
        <w:t>A rendelet hatálya Szigetvár város közigazgatási területére terjed ki.</w:t>
      </w:r>
    </w:p>
    <w:p w14:paraId="410A16F9" w14:textId="77777777" w:rsidR="00D75714" w:rsidRDefault="00D75714" w:rsidP="00D75714">
      <w:pPr>
        <w:jc w:val="both"/>
      </w:pPr>
    </w:p>
    <w:p w14:paraId="3B202141" w14:textId="77777777" w:rsidR="00D75714" w:rsidRPr="006B5BD2" w:rsidRDefault="00D75714" w:rsidP="00D75714">
      <w:pPr>
        <w:jc w:val="center"/>
        <w:rPr>
          <w:b/>
        </w:rPr>
      </w:pPr>
      <w:r w:rsidRPr="006B5BD2">
        <w:rPr>
          <w:b/>
        </w:rPr>
        <w:t>1/A. §</w:t>
      </w:r>
      <w:r>
        <w:rPr>
          <w:rStyle w:val="Lbjegyzet-hivatkozs"/>
          <w:rFonts w:eastAsiaTheme="majorEastAsia"/>
          <w:b/>
        </w:rPr>
        <w:footnoteReference w:id="2"/>
      </w:r>
    </w:p>
    <w:p w14:paraId="5AA88970" w14:textId="77777777" w:rsidR="00D75714" w:rsidRDefault="00D75714" w:rsidP="00D75714">
      <w:pPr>
        <w:jc w:val="center"/>
      </w:pPr>
    </w:p>
    <w:p w14:paraId="0EAD6AD4" w14:textId="77777777" w:rsidR="00D75714" w:rsidRDefault="00D75714" w:rsidP="00D75714">
      <w:pPr>
        <w:pStyle w:val="Listaszerbekezds"/>
        <w:numPr>
          <w:ilvl w:val="0"/>
          <w:numId w:val="2"/>
        </w:numPr>
        <w:suppressAutoHyphens w:val="0"/>
        <w:spacing w:line="276" w:lineRule="auto"/>
        <w:ind w:left="426"/>
        <w:jc w:val="both"/>
      </w:pPr>
      <w:r w:rsidRPr="00C12D35">
        <w:t>Értelmező rendelkezések:</w:t>
      </w:r>
    </w:p>
    <w:p w14:paraId="2DE7F207" w14:textId="77777777" w:rsidR="00D75714" w:rsidRPr="00C12D35" w:rsidRDefault="00D75714" w:rsidP="00D75714">
      <w:pPr>
        <w:pStyle w:val="Listaszerbekezds"/>
        <w:ind w:left="426"/>
        <w:jc w:val="both"/>
      </w:pPr>
    </w:p>
    <w:p w14:paraId="363CB40F" w14:textId="77777777" w:rsidR="00D75714" w:rsidRDefault="00D75714" w:rsidP="00D75714">
      <w:pPr>
        <w:pStyle w:val="Listaszerbekezds"/>
        <w:numPr>
          <w:ilvl w:val="0"/>
          <w:numId w:val="3"/>
        </w:numPr>
        <w:suppressAutoHyphens w:val="0"/>
        <w:spacing w:line="276" w:lineRule="auto"/>
        <w:jc w:val="both"/>
      </w:pPr>
      <w:r>
        <w:t>Hasznos alapterület: a helyi adókról szóló 1990. évi C. törvény (a továbbiakban: Htv.) 52. § 9. pontjában meghatározott fogalom.</w:t>
      </w:r>
    </w:p>
    <w:p w14:paraId="51D48228" w14:textId="77777777" w:rsidR="00D75714" w:rsidRDefault="00D75714" w:rsidP="00D75714">
      <w:pPr>
        <w:pStyle w:val="Listaszerbekezds"/>
        <w:numPr>
          <w:ilvl w:val="0"/>
          <w:numId w:val="3"/>
        </w:numPr>
        <w:suppressAutoHyphens w:val="0"/>
        <w:spacing w:line="276" w:lineRule="auto"/>
        <w:jc w:val="both"/>
      </w:pPr>
      <w:r>
        <w:t>Tulajdonos: a Htv. 52. § 7. pontjában meghatározott fogalom.</w:t>
      </w:r>
    </w:p>
    <w:p w14:paraId="60922926" w14:textId="77777777" w:rsidR="00D75714" w:rsidRDefault="00D75714" w:rsidP="00D75714">
      <w:pPr>
        <w:pStyle w:val="Listaszerbekezds"/>
        <w:numPr>
          <w:ilvl w:val="0"/>
          <w:numId w:val="3"/>
        </w:numPr>
        <w:suppressAutoHyphens w:val="0"/>
        <w:spacing w:line="276" w:lineRule="auto"/>
        <w:jc w:val="both"/>
      </w:pPr>
      <w:r>
        <w:t>Lakás: a Htv. 52. § 8. pontjában meghatározott fogalom.</w:t>
      </w:r>
    </w:p>
    <w:p w14:paraId="624170DE" w14:textId="77777777" w:rsidR="00D75714" w:rsidRDefault="00D75714" w:rsidP="00D75714">
      <w:pPr>
        <w:pStyle w:val="Listaszerbekezds"/>
        <w:numPr>
          <w:ilvl w:val="0"/>
          <w:numId w:val="3"/>
        </w:numPr>
        <w:suppressAutoHyphens w:val="0"/>
        <w:spacing w:line="276" w:lineRule="auto"/>
        <w:jc w:val="both"/>
      </w:pPr>
      <w:r>
        <w:t>Vagyoni értékű jog: a Htv. 52. § 3. pontjában meghatározott fogalom.</w:t>
      </w:r>
    </w:p>
    <w:p w14:paraId="0393DB3B" w14:textId="77777777" w:rsidR="00D75714" w:rsidRDefault="00D75714" w:rsidP="00D75714">
      <w:pPr>
        <w:pStyle w:val="Listaszerbekezds"/>
        <w:numPr>
          <w:ilvl w:val="0"/>
          <w:numId w:val="3"/>
        </w:numPr>
        <w:suppressAutoHyphens w:val="0"/>
        <w:spacing w:line="276" w:lineRule="auto"/>
        <w:jc w:val="both"/>
      </w:pPr>
      <w:r>
        <w:t>Vagyoni értékű jog jogosítottja: a Htv. 52. § 49. pontjában meghatározott fogalom.</w:t>
      </w:r>
    </w:p>
    <w:p w14:paraId="5A4E0D18" w14:textId="77777777" w:rsidR="00D75714" w:rsidRDefault="00D75714" w:rsidP="00D75714">
      <w:pPr>
        <w:pStyle w:val="Listaszerbekezds"/>
        <w:numPr>
          <w:ilvl w:val="0"/>
          <w:numId w:val="3"/>
        </w:numPr>
        <w:suppressAutoHyphens w:val="0"/>
        <w:spacing w:line="276" w:lineRule="auto"/>
        <w:jc w:val="both"/>
      </w:pPr>
      <w:r>
        <w:t>Lakáshoz, üdülőhöz tartozó gépjárműtároló: a Htv. 52. § 48. pontjában meghatározott fogalom.</w:t>
      </w:r>
    </w:p>
    <w:p w14:paraId="7F59476D" w14:textId="77777777" w:rsidR="00D75714" w:rsidRDefault="00D75714" w:rsidP="00D75714">
      <w:pPr>
        <w:jc w:val="both"/>
      </w:pPr>
    </w:p>
    <w:p w14:paraId="1F162E84" w14:textId="77777777" w:rsidR="00D75714" w:rsidRPr="00BC635F" w:rsidRDefault="00D75714" w:rsidP="00D75714">
      <w:pPr>
        <w:pStyle w:val="Listaszerbekezds"/>
        <w:numPr>
          <w:ilvl w:val="0"/>
          <w:numId w:val="2"/>
        </w:numPr>
        <w:suppressAutoHyphens w:val="0"/>
        <w:spacing w:line="276" w:lineRule="auto"/>
        <w:ind w:left="426"/>
        <w:jc w:val="both"/>
      </w:pPr>
      <w:r>
        <w:rPr>
          <w:rStyle w:val="Lbjegyzet-hivatkozs"/>
          <w:rFonts w:eastAsiaTheme="majorEastAsia"/>
        </w:rPr>
        <w:footnoteReference w:id="3"/>
      </w:r>
    </w:p>
    <w:p w14:paraId="310332A1" w14:textId="77777777" w:rsidR="00D75714" w:rsidRDefault="00D75714" w:rsidP="00D75714">
      <w:pPr>
        <w:spacing w:line="276" w:lineRule="auto"/>
        <w:jc w:val="center"/>
        <w:rPr>
          <w:b/>
          <w:u w:val="single"/>
        </w:rPr>
      </w:pPr>
    </w:p>
    <w:p w14:paraId="62BA1890" w14:textId="77777777" w:rsidR="00D75714" w:rsidRDefault="00D75714" w:rsidP="00D75714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II. fejezet</w:t>
      </w:r>
    </w:p>
    <w:p w14:paraId="184D307F" w14:textId="77777777" w:rsidR="00D75714" w:rsidRDefault="00D75714" w:rsidP="00D75714">
      <w:pPr>
        <w:spacing w:line="276" w:lineRule="auto"/>
        <w:jc w:val="center"/>
        <w:rPr>
          <w:b/>
        </w:rPr>
      </w:pPr>
      <w:r>
        <w:rPr>
          <w:b/>
        </w:rPr>
        <w:t>Adókötelezettség</w:t>
      </w:r>
    </w:p>
    <w:p w14:paraId="644A25FE" w14:textId="77777777" w:rsidR="00D75714" w:rsidRDefault="00D75714" w:rsidP="00D75714">
      <w:pPr>
        <w:spacing w:after="240" w:line="276" w:lineRule="auto"/>
        <w:jc w:val="center"/>
        <w:rPr>
          <w:b/>
        </w:rPr>
      </w:pPr>
      <w:r>
        <w:rPr>
          <w:b/>
        </w:rPr>
        <w:t>2. §</w:t>
      </w:r>
      <w:r>
        <w:rPr>
          <w:rStyle w:val="Lbjegyzet-hivatkozs"/>
          <w:rFonts w:eastAsiaTheme="majorEastAsia"/>
          <w:b/>
        </w:rPr>
        <w:footnoteReference w:id="4"/>
      </w:r>
    </w:p>
    <w:p w14:paraId="0BA06169" w14:textId="77777777" w:rsidR="00D75714" w:rsidRDefault="00D75714" w:rsidP="00D75714">
      <w:pPr>
        <w:jc w:val="both"/>
      </w:pPr>
      <w:r w:rsidRPr="00BE26D1">
        <w:t xml:space="preserve">Adóköteles az önkormányzat illetékességi területén lévő építmények közül a lakás és </w:t>
      </w:r>
      <w:r>
        <w:t xml:space="preserve">a </w:t>
      </w:r>
      <w:r w:rsidRPr="00BE26D1">
        <w:t>nem lakás céljára szolgáló épület, épületrész (a továbbiakban együtt: építmény).</w:t>
      </w:r>
    </w:p>
    <w:p w14:paraId="22C5AE59" w14:textId="77777777" w:rsidR="00D75714" w:rsidRPr="00963812" w:rsidRDefault="00D75714" w:rsidP="00D75714">
      <w:pPr>
        <w:jc w:val="both"/>
      </w:pPr>
    </w:p>
    <w:p w14:paraId="14BE3E76" w14:textId="77777777" w:rsidR="00D75714" w:rsidRPr="00963812" w:rsidRDefault="00D75714" w:rsidP="00D75714">
      <w:pPr>
        <w:autoSpaceDE w:val="0"/>
        <w:autoSpaceDN w:val="0"/>
        <w:adjustRightInd w:val="0"/>
        <w:ind w:left="3966" w:firstLine="282"/>
        <w:rPr>
          <w:b/>
        </w:rPr>
      </w:pPr>
      <w:r w:rsidRPr="00963812">
        <w:rPr>
          <w:b/>
        </w:rPr>
        <w:t>2/A. §</w:t>
      </w:r>
      <w:r w:rsidRPr="00963812">
        <w:rPr>
          <w:rStyle w:val="Lbjegyzet-hivatkozs"/>
          <w:rFonts w:eastAsiaTheme="majorEastAsia"/>
          <w:b/>
        </w:rPr>
        <w:footnoteReference w:id="5"/>
      </w:r>
    </w:p>
    <w:p w14:paraId="616EFC32" w14:textId="77777777" w:rsidR="00D75714" w:rsidRPr="00963812" w:rsidRDefault="00D75714" w:rsidP="00D75714">
      <w:pPr>
        <w:autoSpaceDE w:val="0"/>
        <w:autoSpaceDN w:val="0"/>
        <w:adjustRightInd w:val="0"/>
        <w:rPr>
          <w:b/>
        </w:rPr>
      </w:pPr>
    </w:p>
    <w:p w14:paraId="15E4A469" w14:textId="77777777" w:rsidR="00D75714" w:rsidRDefault="00D75714" w:rsidP="00D75714">
      <w:pPr>
        <w:spacing w:line="276" w:lineRule="auto"/>
        <w:jc w:val="center"/>
        <w:rPr>
          <w:b/>
        </w:rPr>
      </w:pPr>
      <w:r>
        <w:rPr>
          <w:b/>
        </w:rPr>
        <w:lastRenderedPageBreak/>
        <w:t>Adómentesség</w:t>
      </w:r>
    </w:p>
    <w:p w14:paraId="7F840BEF" w14:textId="77777777" w:rsidR="00D75714" w:rsidRPr="00BE26D1" w:rsidRDefault="00D75714" w:rsidP="00D75714">
      <w:pPr>
        <w:spacing w:after="240" w:line="276" w:lineRule="auto"/>
        <w:jc w:val="center"/>
      </w:pPr>
      <w:r>
        <w:rPr>
          <w:b/>
        </w:rPr>
        <w:t>3. §</w:t>
      </w:r>
      <w:r>
        <w:rPr>
          <w:rStyle w:val="Lbjegyzet-hivatkozs"/>
          <w:rFonts w:eastAsiaTheme="majorEastAsia"/>
          <w:b/>
        </w:rPr>
        <w:footnoteReference w:id="6"/>
      </w:r>
    </w:p>
    <w:p w14:paraId="07CACE15" w14:textId="77777777" w:rsidR="00D75714" w:rsidRPr="00F5138F" w:rsidRDefault="00D75714" w:rsidP="00D75714">
      <w:pPr>
        <w:jc w:val="both"/>
      </w:pPr>
      <w:r w:rsidRPr="00BE26D1">
        <w:t>A külön jogszabályban</w:t>
      </w:r>
      <w:r w:rsidRPr="00BE26D1">
        <w:rPr>
          <w:rStyle w:val="Lbjegyzet-hivatkozs"/>
          <w:rFonts w:eastAsiaTheme="majorEastAsia"/>
        </w:rPr>
        <w:footnoteReference w:id="7"/>
      </w:r>
      <w:r w:rsidRPr="00BE26D1">
        <w:t xml:space="preserve"> felsoroltakon kívül </w:t>
      </w:r>
      <w:r>
        <w:t>mentes az építményadó fizetési kötelezettség alól</w:t>
      </w:r>
      <w:r w:rsidRPr="00BE26D1">
        <w:t xml:space="preserve"> </w:t>
      </w:r>
      <w:r w:rsidRPr="00F5138F">
        <w:t xml:space="preserve">az a lakás, illetve (egyéb nem lakás céljára szolgáló) külterületi, zártkerti ingatlan, amely után </w:t>
      </w:r>
    </w:p>
    <w:p w14:paraId="0A50B1A8" w14:textId="77777777" w:rsidR="00D75714" w:rsidRPr="00F5138F" w:rsidRDefault="00D75714" w:rsidP="00D75714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</w:pPr>
      <w:r w:rsidRPr="00F5138F">
        <w:t>magánszemély tulajdonosa, vagy</w:t>
      </w:r>
    </w:p>
    <w:p w14:paraId="54BC2C15" w14:textId="77777777" w:rsidR="00D75714" w:rsidRPr="00F5138F" w:rsidRDefault="00D75714" w:rsidP="00D75714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</w:pPr>
      <w:r w:rsidRPr="00F5138F">
        <w:t>amennyiben az építményt ingatlan-nyilvántartásba bejegyzett vagyoni értékű jog terheli, az annak gyakorlására jogosult magánszemély, vagy</w:t>
      </w:r>
    </w:p>
    <w:p w14:paraId="51F4085B" w14:textId="77777777" w:rsidR="00D75714" w:rsidRPr="00F5138F" w:rsidRDefault="00D75714" w:rsidP="00D75714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</w:pPr>
      <w:r w:rsidRPr="00F5138F">
        <w:t xml:space="preserve">nem magánszemély tulajdonában álló lakás esetében a lakás bérleti jogával rendelkező magánszemély </w:t>
      </w:r>
    </w:p>
    <w:p w14:paraId="19F16606" w14:textId="77777777" w:rsidR="00D75714" w:rsidRPr="00F5138F" w:rsidRDefault="00D75714" w:rsidP="00D75714">
      <w:pPr>
        <w:jc w:val="both"/>
      </w:pPr>
      <w:r w:rsidRPr="00F5138F">
        <w:t>Szigetvár Város Önkormányzata Képviselő-testületének a kommunális adóról szóló 40/2002. (XII.13.) önkormányzati rendelete alapján magánszemély kommunális adóját fizeti.</w:t>
      </w:r>
    </w:p>
    <w:p w14:paraId="5CE3BB49" w14:textId="77777777" w:rsidR="00D75714" w:rsidRDefault="00D75714" w:rsidP="00D75714">
      <w:pPr>
        <w:spacing w:line="276" w:lineRule="auto"/>
        <w:jc w:val="center"/>
        <w:rPr>
          <w:b/>
        </w:rPr>
      </w:pPr>
    </w:p>
    <w:p w14:paraId="2794C7D2" w14:textId="77777777" w:rsidR="00D75714" w:rsidRDefault="00D75714" w:rsidP="00D75714">
      <w:pPr>
        <w:spacing w:line="276" w:lineRule="auto"/>
        <w:jc w:val="center"/>
        <w:rPr>
          <w:b/>
        </w:rPr>
      </w:pPr>
      <w:r>
        <w:rPr>
          <w:b/>
        </w:rPr>
        <w:t>Az adó alapja</w:t>
      </w:r>
    </w:p>
    <w:p w14:paraId="11C29723" w14:textId="77777777" w:rsidR="00D75714" w:rsidRPr="00963812" w:rsidRDefault="00D75714" w:rsidP="00D75714">
      <w:pPr>
        <w:spacing w:after="240" w:line="276" w:lineRule="auto"/>
        <w:jc w:val="center"/>
        <w:rPr>
          <w:b/>
        </w:rPr>
      </w:pPr>
      <w:r>
        <w:rPr>
          <w:b/>
        </w:rPr>
        <w:t>4. §</w:t>
      </w:r>
      <w:r>
        <w:rPr>
          <w:rStyle w:val="Lbjegyzet-hivatkozs"/>
          <w:rFonts w:eastAsiaTheme="majorEastAsia"/>
          <w:b/>
        </w:rPr>
        <w:footnoteReference w:id="8"/>
      </w:r>
    </w:p>
    <w:p w14:paraId="712CD701" w14:textId="77777777" w:rsidR="00D75714" w:rsidRPr="00963812" w:rsidRDefault="00D75714" w:rsidP="00D75714">
      <w:pPr>
        <w:spacing w:line="276" w:lineRule="auto"/>
        <w:jc w:val="both"/>
      </w:pPr>
      <w:r w:rsidRPr="00963812">
        <w:t>(1) Az adó alapja az építmény négyzetméterben (m²-ben) számított hasznos alapterülete.</w:t>
      </w:r>
    </w:p>
    <w:p w14:paraId="60413187" w14:textId="77777777" w:rsidR="00D75714" w:rsidRPr="00963812" w:rsidRDefault="00D75714" w:rsidP="00D75714">
      <w:pPr>
        <w:pStyle w:val="Listaszerbekezds"/>
        <w:jc w:val="both"/>
      </w:pPr>
    </w:p>
    <w:p w14:paraId="40160519" w14:textId="77777777" w:rsidR="00D75714" w:rsidRPr="00963812" w:rsidRDefault="00D75714" w:rsidP="00D75714">
      <w:pPr>
        <w:tabs>
          <w:tab w:val="left" w:pos="1134"/>
        </w:tabs>
        <w:autoSpaceDE w:val="0"/>
        <w:autoSpaceDN w:val="0"/>
        <w:adjustRightInd w:val="0"/>
        <w:jc w:val="both"/>
      </w:pPr>
      <w:r w:rsidRPr="00963812">
        <w:t xml:space="preserve">(2) </w:t>
      </w:r>
      <w:r>
        <w:rPr>
          <w:rStyle w:val="Lbjegyzet-hivatkozs"/>
          <w:rFonts w:eastAsiaTheme="majorEastAsia"/>
        </w:rPr>
        <w:footnoteReference w:id="9"/>
      </w:r>
    </w:p>
    <w:p w14:paraId="5B021984" w14:textId="77777777" w:rsidR="00FD620D" w:rsidRDefault="00FD620D" w:rsidP="00D75714">
      <w:pPr>
        <w:spacing w:line="276" w:lineRule="auto"/>
        <w:jc w:val="center"/>
        <w:rPr>
          <w:b/>
        </w:rPr>
      </w:pPr>
    </w:p>
    <w:p w14:paraId="35AB29EF" w14:textId="64F30B37" w:rsidR="00D75714" w:rsidRDefault="00D75714" w:rsidP="00D75714">
      <w:pPr>
        <w:spacing w:line="276" w:lineRule="auto"/>
        <w:jc w:val="center"/>
        <w:rPr>
          <w:b/>
        </w:rPr>
      </w:pPr>
      <w:r>
        <w:rPr>
          <w:b/>
        </w:rPr>
        <w:t>Az adó mértéke</w:t>
      </w:r>
    </w:p>
    <w:p w14:paraId="02747452" w14:textId="77777777" w:rsidR="00D75714" w:rsidRDefault="00D75714" w:rsidP="00D75714">
      <w:pPr>
        <w:spacing w:after="240" w:line="276" w:lineRule="auto"/>
        <w:jc w:val="center"/>
        <w:rPr>
          <w:b/>
        </w:rPr>
      </w:pPr>
      <w:r>
        <w:rPr>
          <w:b/>
        </w:rPr>
        <w:t>5. §</w:t>
      </w:r>
      <w:r>
        <w:rPr>
          <w:rStyle w:val="Lbjegyzet-hivatkozs"/>
          <w:rFonts w:eastAsiaTheme="majorEastAsia"/>
          <w:b/>
        </w:rPr>
        <w:footnoteReference w:id="10"/>
      </w:r>
    </w:p>
    <w:p w14:paraId="77E665D1" w14:textId="77777777" w:rsidR="00FD620D" w:rsidRPr="00437B65" w:rsidRDefault="00FD620D" w:rsidP="00D75714">
      <w:pPr>
        <w:spacing w:after="240" w:line="276" w:lineRule="auto"/>
        <w:jc w:val="center"/>
        <w:rPr>
          <w:b/>
        </w:rPr>
      </w:pPr>
    </w:p>
    <w:p w14:paraId="00C8F49C" w14:textId="0D16A131" w:rsidR="00D75714" w:rsidRDefault="00D75714" w:rsidP="00D75714">
      <w:pPr>
        <w:pStyle w:val="Szvegtrzs"/>
        <w:spacing w:before="240" w:after="0" w:line="240" w:lineRule="auto"/>
        <w:jc w:val="both"/>
      </w:pPr>
      <w:r>
        <w:t>(1)</w:t>
      </w:r>
      <w:r>
        <w:rPr>
          <w:rStyle w:val="Lbjegyzet-hivatkozs"/>
        </w:rPr>
        <w:footnoteReference w:id="11"/>
      </w:r>
      <w:r>
        <w:t xml:space="preserve"> Lakáshoz, üdülőhöz tartozó gépjármű tároló (garázs) egységesen 220 Ft/m</w:t>
      </w:r>
      <w:r>
        <w:rPr>
          <w:vertAlign w:val="superscript"/>
        </w:rPr>
        <w:t>2</w:t>
      </w:r>
      <w:r>
        <w:t>/év</w:t>
      </w:r>
    </w:p>
    <w:p w14:paraId="385CB6F3" w14:textId="0A93F72A" w:rsidR="00D75714" w:rsidRDefault="00D75714" w:rsidP="00D75714">
      <w:pPr>
        <w:pStyle w:val="Szvegtrzs"/>
        <w:spacing w:before="240" w:after="0" w:line="240" w:lineRule="auto"/>
        <w:jc w:val="both"/>
      </w:pPr>
      <w:r>
        <w:t>(2)</w:t>
      </w:r>
      <w:r>
        <w:rPr>
          <w:rStyle w:val="Lbjegyzet-hivatkozs"/>
        </w:rPr>
        <w:footnoteReference w:id="12"/>
      </w:r>
      <w:r>
        <w:t xml:space="preserve"> Raktár egységesen 220 Ft/m</w:t>
      </w:r>
      <w:r>
        <w:rPr>
          <w:vertAlign w:val="superscript"/>
        </w:rPr>
        <w:t>2</w:t>
      </w:r>
      <w:r>
        <w:t>/év</w:t>
      </w:r>
    </w:p>
    <w:p w14:paraId="57E35D8C" w14:textId="515F0682" w:rsidR="00D75714" w:rsidRDefault="00D75714" w:rsidP="00D75714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Lbjegyzet-hivatkozs"/>
        </w:rPr>
        <w:footnoteReference w:id="13"/>
      </w:r>
      <w:r>
        <w:t xml:space="preserve"> Műhely</w:t>
      </w:r>
    </w:p>
    <w:p w14:paraId="48889DEC" w14:textId="77777777" w:rsidR="00D75714" w:rsidRDefault="00D75714" w:rsidP="00D7571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0 – 200 m</w:t>
      </w:r>
      <w:r>
        <w:rPr>
          <w:vertAlign w:val="superscript"/>
        </w:rPr>
        <w:t>2</w:t>
      </w:r>
      <w:r>
        <w:t>-ig 220 Ft/m</w:t>
      </w:r>
      <w:r>
        <w:rPr>
          <w:vertAlign w:val="superscript"/>
        </w:rPr>
        <w:t>2</w:t>
      </w:r>
      <w:r>
        <w:t>/év</w:t>
      </w:r>
    </w:p>
    <w:p w14:paraId="3C1F4D50" w14:textId="77777777" w:rsidR="00D75714" w:rsidRDefault="00D75714" w:rsidP="00D7571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201 – 500 m</w:t>
      </w:r>
      <w:r>
        <w:rPr>
          <w:vertAlign w:val="superscript"/>
        </w:rPr>
        <w:t>2</w:t>
      </w:r>
      <w:r>
        <w:t>-ig 330 Ft/m</w:t>
      </w:r>
      <w:r>
        <w:rPr>
          <w:vertAlign w:val="superscript"/>
        </w:rPr>
        <w:t>2</w:t>
      </w:r>
      <w:r>
        <w:t>/év</w:t>
      </w:r>
    </w:p>
    <w:p w14:paraId="17E5C317" w14:textId="77777777" w:rsidR="00D75714" w:rsidRDefault="00D75714" w:rsidP="00D7571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501 m</w:t>
      </w:r>
      <w:r>
        <w:rPr>
          <w:vertAlign w:val="superscript"/>
        </w:rPr>
        <w:t>2</w:t>
      </w:r>
      <w:r>
        <w:t>-től 440 Ft/m</w:t>
      </w:r>
      <w:r>
        <w:rPr>
          <w:vertAlign w:val="superscript"/>
        </w:rPr>
        <w:t>2</w:t>
      </w:r>
      <w:r>
        <w:t>/év</w:t>
      </w:r>
    </w:p>
    <w:p w14:paraId="647A18B4" w14:textId="2491D2A1" w:rsidR="00D75714" w:rsidRDefault="00D75714" w:rsidP="00D75714">
      <w:pPr>
        <w:pStyle w:val="Szvegtrzs"/>
        <w:spacing w:before="240" w:after="0" w:line="240" w:lineRule="auto"/>
        <w:jc w:val="both"/>
      </w:pPr>
      <w:r>
        <w:t>(4)</w:t>
      </w:r>
      <w:r>
        <w:rPr>
          <w:rStyle w:val="Lbjegyzet-hivatkozs"/>
        </w:rPr>
        <w:footnoteReference w:id="14"/>
      </w:r>
      <w:r>
        <w:t xml:space="preserve"> Üzlet </w:t>
      </w:r>
    </w:p>
    <w:p w14:paraId="3B1298F1" w14:textId="77777777" w:rsidR="00D75714" w:rsidRDefault="00D75714" w:rsidP="00D7571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0 – 300 m</w:t>
      </w:r>
      <w:r>
        <w:rPr>
          <w:vertAlign w:val="superscript"/>
        </w:rPr>
        <w:t>2</w:t>
      </w:r>
      <w:r>
        <w:t>-ig 550 Ft/m</w:t>
      </w:r>
      <w:r>
        <w:rPr>
          <w:vertAlign w:val="superscript"/>
        </w:rPr>
        <w:t>2</w:t>
      </w:r>
      <w:r>
        <w:t>/év</w:t>
      </w:r>
    </w:p>
    <w:p w14:paraId="53823070" w14:textId="77777777" w:rsidR="00D75714" w:rsidRDefault="00D75714" w:rsidP="00D7571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301 m</w:t>
      </w:r>
      <w:r>
        <w:rPr>
          <w:vertAlign w:val="superscript"/>
        </w:rPr>
        <w:t>2</w:t>
      </w:r>
      <w:r>
        <w:t>-től 1.760 Ft/m</w:t>
      </w:r>
      <w:r>
        <w:rPr>
          <w:vertAlign w:val="superscript"/>
        </w:rPr>
        <w:t>2</w:t>
      </w:r>
      <w:r>
        <w:t>/év</w:t>
      </w:r>
    </w:p>
    <w:p w14:paraId="44891F30" w14:textId="70EBBD88" w:rsidR="00D75714" w:rsidRDefault="00D75714" w:rsidP="00D75714">
      <w:pPr>
        <w:pStyle w:val="Szvegtrzs"/>
        <w:spacing w:before="240" w:after="0" w:line="240" w:lineRule="auto"/>
        <w:jc w:val="both"/>
      </w:pPr>
      <w:r>
        <w:t>(5)</w:t>
      </w:r>
      <w:r>
        <w:rPr>
          <w:rStyle w:val="Lbjegyzet-hivatkozs"/>
        </w:rPr>
        <w:footnoteReference w:id="15"/>
      </w:r>
      <w:r>
        <w:t xml:space="preserve"> Iroda egységesen 330 Ft/m</w:t>
      </w:r>
      <w:r>
        <w:rPr>
          <w:vertAlign w:val="superscript"/>
        </w:rPr>
        <w:t>2</w:t>
      </w:r>
      <w:r>
        <w:t>/év</w:t>
      </w:r>
    </w:p>
    <w:p w14:paraId="5B7E60DB" w14:textId="451C0832" w:rsidR="00D75714" w:rsidRDefault="00D75714" w:rsidP="00D75714">
      <w:pPr>
        <w:pStyle w:val="Szvegtrzs"/>
        <w:spacing w:before="240" w:after="0" w:line="240" w:lineRule="auto"/>
        <w:jc w:val="both"/>
      </w:pPr>
      <w:r>
        <w:lastRenderedPageBreak/>
        <w:t>(6)</w:t>
      </w:r>
      <w:r>
        <w:rPr>
          <w:rStyle w:val="Lbjegyzet-hivatkozs"/>
        </w:rPr>
        <w:footnoteReference w:id="16"/>
      </w:r>
      <w:r>
        <w:t xml:space="preserve"> Az éves adó mértéke a tényleges használati mód alapján a hitelintézeti, pénzintézeti, biztosítási, távközlési tevékenység, üzemanyagtöltő állomás (benzinkút), a játékgépeket működtető vendéglátó helyek, a játékkaszinók, szerencsejáték, totólottó, sorsjegyárusítással foglalkozó kereskedelmi egységek esetében 1.892 Ft/m</w:t>
      </w:r>
      <w:r>
        <w:rPr>
          <w:vertAlign w:val="superscript"/>
        </w:rPr>
        <w:t>2</w:t>
      </w:r>
      <w:r>
        <w:t>/év.</w:t>
      </w:r>
    </w:p>
    <w:p w14:paraId="1A56AB65" w14:textId="3B71EA0E" w:rsidR="00D75714" w:rsidRDefault="00D75714" w:rsidP="00D75714">
      <w:pPr>
        <w:pStyle w:val="Szvegtrzs"/>
        <w:spacing w:before="240" w:after="240" w:line="240" w:lineRule="auto"/>
        <w:jc w:val="both"/>
      </w:pPr>
      <w:r>
        <w:t>(7)</w:t>
      </w:r>
      <w:r>
        <w:rPr>
          <w:rStyle w:val="Lbjegyzet-hivatkozs"/>
        </w:rPr>
        <w:footnoteReference w:id="17"/>
      </w:r>
      <w:r>
        <w:t xml:space="preserve"> Az adó éves mértéke olyan – nem magánszemély tulajdonában álló – lakás esetében, mely után nem áll fenn magánszemélyek kommunális adófizetési kötelezettsége: 1.892 Ft/m</w:t>
      </w:r>
      <w:r>
        <w:rPr>
          <w:vertAlign w:val="superscript"/>
        </w:rPr>
        <w:t>2</w:t>
      </w:r>
      <w:r>
        <w:t>/év.”</w:t>
      </w:r>
    </w:p>
    <w:p w14:paraId="65A5E1A1" w14:textId="77777777" w:rsidR="00D75714" w:rsidRDefault="00D75714" w:rsidP="00D75714">
      <w:pPr>
        <w:pStyle w:val="Listaszerbekezds"/>
      </w:pPr>
    </w:p>
    <w:p w14:paraId="27CDD0E1" w14:textId="7BAAF52C" w:rsidR="00D75714" w:rsidRDefault="00D75714" w:rsidP="00D75714">
      <w:pPr>
        <w:autoSpaceDE w:val="0"/>
        <w:autoSpaceDN w:val="0"/>
        <w:adjustRightInd w:val="0"/>
        <w:jc w:val="both"/>
        <w:rPr>
          <w:b/>
        </w:rPr>
      </w:pPr>
      <w:r w:rsidRPr="00D75714">
        <w:rPr>
          <w:bCs/>
        </w:rPr>
        <w:t>(8)</w:t>
      </w:r>
      <w:r>
        <w:rPr>
          <w:b/>
        </w:rPr>
        <w:t xml:space="preserve"> </w:t>
      </w:r>
      <w:r>
        <w:rPr>
          <w:rStyle w:val="Lbjegyzet-hivatkozs"/>
          <w:rFonts w:eastAsiaTheme="majorEastAsia"/>
          <w:sz w:val="22"/>
          <w:szCs w:val="22"/>
        </w:rPr>
        <w:footnoteReference w:id="18"/>
      </w:r>
    </w:p>
    <w:p w14:paraId="2ADDF6C1" w14:textId="77777777" w:rsidR="00D75714" w:rsidRDefault="00D75714" w:rsidP="00D75714">
      <w:pPr>
        <w:autoSpaceDE w:val="0"/>
        <w:autoSpaceDN w:val="0"/>
        <w:adjustRightInd w:val="0"/>
        <w:jc w:val="both"/>
        <w:rPr>
          <w:b/>
        </w:rPr>
      </w:pPr>
    </w:p>
    <w:p w14:paraId="06EACBF7" w14:textId="6C01F5FB" w:rsidR="00D75714" w:rsidRDefault="00D75714" w:rsidP="00D75714">
      <w:pPr>
        <w:pStyle w:val="Szvegtrzs"/>
        <w:spacing w:before="240" w:after="0" w:line="240" w:lineRule="auto"/>
        <w:jc w:val="both"/>
      </w:pPr>
      <w:r>
        <w:t>(9)</w:t>
      </w:r>
      <w:r>
        <w:rPr>
          <w:rStyle w:val="Lbjegyzet-hivatkozs"/>
        </w:rPr>
        <w:footnoteReference w:id="19"/>
      </w:r>
      <w:r>
        <w:t xml:space="preserve"> Az (1)-(7) bekezdések alá nem tartozó minden egyéb építmény tekintetében</w:t>
      </w:r>
    </w:p>
    <w:p w14:paraId="789F65DE" w14:textId="77777777" w:rsidR="00D75714" w:rsidRDefault="00D75714" w:rsidP="00D7571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0-200 m</w:t>
      </w:r>
      <w:r>
        <w:rPr>
          <w:vertAlign w:val="superscript"/>
        </w:rPr>
        <w:t>2</w:t>
      </w:r>
      <w:r>
        <w:t>-ig 220 Ft/m</w:t>
      </w:r>
      <w:r>
        <w:rPr>
          <w:vertAlign w:val="superscript"/>
        </w:rPr>
        <w:t>2</w:t>
      </w:r>
      <w:r>
        <w:t>/év</w:t>
      </w:r>
    </w:p>
    <w:p w14:paraId="1613FD1F" w14:textId="77777777" w:rsidR="00D75714" w:rsidRDefault="00D75714" w:rsidP="00D7571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201-500 m</w:t>
      </w:r>
      <w:r>
        <w:rPr>
          <w:vertAlign w:val="superscript"/>
        </w:rPr>
        <w:t>2</w:t>
      </w:r>
      <w:r>
        <w:t>-ig 330 Ft/m</w:t>
      </w:r>
      <w:r>
        <w:rPr>
          <w:vertAlign w:val="superscript"/>
        </w:rPr>
        <w:t>2</w:t>
      </w:r>
      <w:r>
        <w:t>/év</w:t>
      </w:r>
    </w:p>
    <w:p w14:paraId="3A3E7ED1" w14:textId="07FC1017" w:rsidR="00D75714" w:rsidRPr="00F5138F" w:rsidRDefault="00D75714" w:rsidP="00D75714">
      <w:pPr>
        <w:autoSpaceDE w:val="0"/>
        <w:autoSpaceDN w:val="0"/>
        <w:adjustRightInd w:val="0"/>
        <w:jc w:val="both"/>
        <w:rPr>
          <w:b/>
        </w:rPr>
      </w:pPr>
      <w:r>
        <w:rPr>
          <w:i/>
          <w:iCs/>
        </w:rPr>
        <w:t>c)</w:t>
      </w:r>
      <w:r>
        <w:tab/>
        <w:t xml:space="preserve"> 501 m</w:t>
      </w:r>
      <w:r>
        <w:rPr>
          <w:vertAlign w:val="superscript"/>
        </w:rPr>
        <w:t>2</w:t>
      </w:r>
      <w:r>
        <w:t>-től 440 Ft/m</w:t>
      </w:r>
      <w:r>
        <w:rPr>
          <w:vertAlign w:val="superscript"/>
        </w:rPr>
        <w:t>2</w:t>
      </w:r>
      <w:r>
        <w:t>/év</w:t>
      </w:r>
      <w:r>
        <w:t>.</w:t>
      </w:r>
    </w:p>
    <w:p w14:paraId="26189760" w14:textId="77777777" w:rsidR="00FD620D" w:rsidRDefault="00FD620D" w:rsidP="00D75714">
      <w:pPr>
        <w:jc w:val="center"/>
        <w:rPr>
          <w:b/>
        </w:rPr>
      </w:pPr>
    </w:p>
    <w:p w14:paraId="1DD31717" w14:textId="5CDD0513" w:rsidR="00D75714" w:rsidRDefault="00D75714" w:rsidP="00D75714">
      <w:pPr>
        <w:jc w:val="center"/>
        <w:rPr>
          <w:b/>
        </w:rPr>
      </w:pPr>
      <w:r w:rsidRPr="00E613D3">
        <w:rPr>
          <w:b/>
        </w:rPr>
        <w:t>5/A. §</w:t>
      </w:r>
      <w:r>
        <w:rPr>
          <w:rStyle w:val="Lbjegyzet-hivatkozs"/>
          <w:rFonts w:eastAsiaTheme="majorEastAsia"/>
          <w:b/>
        </w:rPr>
        <w:footnoteReference w:id="20"/>
      </w:r>
    </w:p>
    <w:p w14:paraId="46298E8B" w14:textId="77777777" w:rsidR="00D75714" w:rsidRDefault="00D75714" w:rsidP="00D75714">
      <w:pPr>
        <w:spacing w:before="480" w:line="276" w:lineRule="auto"/>
        <w:jc w:val="both"/>
        <w:rPr>
          <w:b/>
          <w:u w:val="single"/>
        </w:rPr>
      </w:pPr>
      <w:r>
        <w:t>Az adózó az adókötelezettség keletkezéséről, valamint adókötelezettséget érintő változásról, annak bekövetkezésétől számított 15 napon belül köteles bevallást tenni az önkormányzati adóhatóság felé, az önkormányzati adóhatóság által rendszeresített nyomtatványon</w:t>
      </w:r>
    </w:p>
    <w:p w14:paraId="434E4562" w14:textId="77777777" w:rsidR="00D75714" w:rsidRDefault="00D75714" w:rsidP="00D75714">
      <w:pPr>
        <w:spacing w:before="480" w:line="276" w:lineRule="auto"/>
        <w:jc w:val="center"/>
        <w:rPr>
          <w:b/>
          <w:u w:val="single"/>
        </w:rPr>
      </w:pPr>
      <w:r>
        <w:rPr>
          <w:b/>
          <w:u w:val="single"/>
        </w:rPr>
        <w:t>III. fejezet</w:t>
      </w:r>
    </w:p>
    <w:p w14:paraId="2CC8A71B" w14:textId="77777777" w:rsidR="00D75714" w:rsidRDefault="00D75714" w:rsidP="00D75714">
      <w:pPr>
        <w:spacing w:line="276" w:lineRule="auto"/>
        <w:jc w:val="center"/>
        <w:rPr>
          <w:b/>
        </w:rPr>
      </w:pPr>
      <w:r>
        <w:rPr>
          <w:b/>
        </w:rPr>
        <w:t>Záró rendelkezések</w:t>
      </w:r>
    </w:p>
    <w:p w14:paraId="28BF7CDE" w14:textId="77777777" w:rsidR="00D75714" w:rsidRDefault="00D75714" w:rsidP="00D75714">
      <w:pPr>
        <w:spacing w:after="240" w:line="276" w:lineRule="auto"/>
        <w:jc w:val="center"/>
        <w:rPr>
          <w:b/>
        </w:rPr>
      </w:pPr>
      <w:r>
        <w:rPr>
          <w:b/>
        </w:rPr>
        <w:t>6. §</w:t>
      </w:r>
    </w:p>
    <w:p w14:paraId="5526241E" w14:textId="77777777" w:rsidR="00D75714" w:rsidRDefault="00D75714" w:rsidP="00D75714">
      <w:pPr>
        <w:spacing w:line="276" w:lineRule="auto"/>
        <w:jc w:val="both"/>
      </w:pPr>
      <w:r>
        <w:t>(1) A rendelet 2003. január 1-jén lép hatályba.</w:t>
      </w:r>
    </w:p>
    <w:p w14:paraId="33447A13" w14:textId="77777777" w:rsidR="00D75714" w:rsidRDefault="00D75714" w:rsidP="00D75714">
      <w:pPr>
        <w:spacing w:line="276" w:lineRule="auto"/>
        <w:jc w:val="both"/>
      </w:pPr>
    </w:p>
    <w:p w14:paraId="650C094F" w14:textId="77777777" w:rsidR="00D75714" w:rsidRDefault="00D75714" w:rsidP="00D75714">
      <w:pPr>
        <w:spacing w:line="276" w:lineRule="auto"/>
        <w:jc w:val="both"/>
      </w:pPr>
      <w:r>
        <w:t>(2) A rendelet kihirdetéséről a helyi önkormányzatokról szóló 1990. évi LXV. tv. 16. § (2)    és (3) bek.-e értelmében a helyben szokásos módon a jegyző gondoskodik.</w:t>
      </w:r>
    </w:p>
    <w:p w14:paraId="19CE16CF" w14:textId="77777777" w:rsidR="00D75714" w:rsidRDefault="00D75714" w:rsidP="00D75714">
      <w:pPr>
        <w:spacing w:line="276" w:lineRule="auto"/>
        <w:jc w:val="both"/>
      </w:pPr>
    </w:p>
    <w:p w14:paraId="124DC763" w14:textId="77777777" w:rsidR="00D75714" w:rsidRDefault="00D75714" w:rsidP="00D75714">
      <w:pPr>
        <w:spacing w:line="276" w:lineRule="auto"/>
        <w:jc w:val="both"/>
      </w:pPr>
      <w:r>
        <w:t>(3) A rendelet hatályba lépésével egyidejűleg az építményadóról szóló 17/1991. (XI. 22.) Ör. és a módosításai hatályon kívül helyezve.</w:t>
      </w:r>
    </w:p>
    <w:p w14:paraId="4CE6DFAE" w14:textId="77777777" w:rsidR="00D75714" w:rsidRDefault="00D75714" w:rsidP="00D75714">
      <w:pPr>
        <w:spacing w:before="720" w:line="276" w:lineRule="auto"/>
        <w:jc w:val="both"/>
      </w:pPr>
      <w:r>
        <w:t>Szigetvár, 2002. december 12.</w:t>
      </w:r>
    </w:p>
    <w:p w14:paraId="501FF153" w14:textId="77777777" w:rsidR="00D75714" w:rsidRDefault="00D75714" w:rsidP="00D75714">
      <w:pPr>
        <w:spacing w:before="600" w:line="276" w:lineRule="auto"/>
        <w:ind w:firstLine="567"/>
        <w:jc w:val="both"/>
      </w:pPr>
      <w:r>
        <w:t>Paizs József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Aracsi József</w:t>
      </w:r>
    </w:p>
    <w:p w14:paraId="7479D231" w14:textId="77777777" w:rsidR="00D75714" w:rsidRDefault="00D75714" w:rsidP="00D75714">
      <w:pPr>
        <w:spacing w:line="276" w:lineRule="auto"/>
        <w:ind w:left="426" w:firstLine="141"/>
        <w:jc w:val="both"/>
      </w:pPr>
      <w:r>
        <w:t>polgármester                                                                          címzetes főjegyző</w:t>
      </w:r>
    </w:p>
    <w:p w14:paraId="4BF2FB69" w14:textId="77777777" w:rsidR="00D75714" w:rsidRDefault="00D75714" w:rsidP="00D75714">
      <w:pPr>
        <w:pStyle w:val="Listaszerbekezds"/>
        <w:numPr>
          <w:ilvl w:val="0"/>
          <w:numId w:val="4"/>
        </w:numPr>
        <w:suppressAutoHyphens w:val="0"/>
        <w:spacing w:line="276" w:lineRule="auto"/>
        <w:jc w:val="right"/>
        <w:rPr>
          <w:b/>
          <w:u w:val="single"/>
        </w:rPr>
      </w:pPr>
      <w:r>
        <w:rPr>
          <w:rStyle w:val="Lbjegyzet-hivatkozs"/>
          <w:rFonts w:eastAsiaTheme="majorEastAsia"/>
          <w:b/>
          <w:u w:val="single"/>
        </w:rPr>
        <w:footnoteReference w:id="21"/>
      </w:r>
      <w:r w:rsidRPr="001825E4">
        <w:rPr>
          <w:b/>
          <w:u w:val="single"/>
        </w:rPr>
        <w:t>melléklet a</w:t>
      </w:r>
      <w:r>
        <w:rPr>
          <w:b/>
          <w:u w:val="single"/>
        </w:rPr>
        <w:t>z</w:t>
      </w:r>
      <w:r w:rsidRPr="001825E4">
        <w:rPr>
          <w:b/>
          <w:u w:val="single"/>
        </w:rPr>
        <w:t xml:space="preserve"> </w:t>
      </w:r>
      <w:r>
        <w:rPr>
          <w:b/>
          <w:u w:val="single"/>
        </w:rPr>
        <w:t>38</w:t>
      </w:r>
      <w:r w:rsidRPr="001825E4">
        <w:rPr>
          <w:b/>
          <w:u w:val="single"/>
        </w:rPr>
        <w:t>/2</w:t>
      </w:r>
      <w:r>
        <w:rPr>
          <w:b/>
          <w:u w:val="single"/>
        </w:rPr>
        <w:t>00</w:t>
      </w:r>
      <w:r w:rsidRPr="001825E4">
        <w:rPr>
          <w:b/>
          <w:u w:val="single"/>
        </w:rPr>
        <w:t>2. (</w:t>
      </w:r>
      <w:r>
        <w:rPr>
          <w:b/>
          <w:u w:val="single"/>
        </w:rPr>
        <w:t>XII.13.</w:t>
      </w:r>
      <w:r w:rsidRPr="001825E4">
        <w:rPr>
          <w:b/>
          <w:u w:val="single"/>
        </w:rPr>
        <w:t>) önkormányzati rendelethez</w:t>
      </w:r>
    </w:p>
    <w:p w14:paraId="43A3C8CE" w14:textId="77777777" w:rsidR="00D75714" w:rsidRDefault="00D75714" w:rsidP="00D75714">
      <w:pPr>
        <w:rPr>
          <w:b/>
          <w:u w:val="single"/>
        </w:rPr>
      </w:pPr>
    </w:p>
    <w:p w14:paraId="7D5B629F" w14:textId="77777777" w:rsidR="00D75714" w:rsidRDefault="00D75714" w:rsidP="00D75714">
      <w:pPr>
        <w:rPr>
          <w:b/>
          <w:u w:val="single"/>
        </w:rPr>
      </w:pPr>
    </w:p>
    <w:p w14:paraId="35E35B28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6E2CEEDC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4CD46C40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0C49B6AF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02F20C7A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1AD560F1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06F4AF02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73EAA5B5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0BE4039F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456BAFC5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4F42FD92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58069E2F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10EF4A3E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46FFE5D8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62216795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368FB059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416D0B6B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0F5BCD7C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4FE6B7B5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6122744B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01D43D69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4644A8A8" w14:textId="77777777" w:rsidR="00D75714" w:rsidRDefault="00D75714" w:rsidP="00D75714">
      <w:pPr>
        <w:spacing w:line="276" w:lineRule="auto"/>
        <w:ind w:left="426" w:firstLine="141"/>
        <w:jc w:val="both"/>
        <w:rPr>
          <w:b/>
          <w:u w:val="single"/>
        </w:rPr>
      </w:pPr>
    </w:p>
    <w:p w14:paraId="530701C2" w14:textId="77777777" w:rsidR="00D75714" w:rsidRDefault="00D75714" w:rsidP="00D75714">
      <w:pPr>
        <w:spacing w:line="276" w:lineRule="auto"/>
        <w:ind w:left="426" w:firstLine="141"/>
        <w:jc w:val="both"/>
      </w:pPr>
    </w:p>
    <w:p w14:paraId="4EDB6051" w14:textId="77777777" w:rsidR="00D75714" w:rsidRDefault="00D75714" w:rsidP="00D75714">
      <w:pPr>
        <w:spacing w:line="276" w:lineRule="auto"/>
      </w:pPr>
    </w:p>
    <w:p w14:paraId="510AF265" w14:textId="77777777" w:rsidR="00D75714" w:rsidRDefault="00D75714" w:rsidP="00D75714">
      <w:pPr>
        <w:spacing w:line="276" w:lineRule="auto"/>
      </w:pPr>
    </w:p>
    <w:p w14:paraId="2C01E6E8" w14:textId="77777777" w:rsidR="00D75714" w:rsidRDefault="00D75714" w:rsidP="00D75714">
      <w:pPr>
        <w:spacing w:line="276" w:lineRule="auto"/>
      </w:pPr>
    </w:p>
    <w:p w14:paraId="6004206E" w14:textId="77777777" w:rsidR="00D75714" w:rsidRDefault="00D75714" w:rsidP="00D75714">
      <w:pPr>
        <w:spacing w:line="276" w:lineRule="auto"/>
      </w:pPr>
    </w:p>
    <w:p w14:paraId="195D071C" w14:textId="77777777" w:rsidR="00D75714" w:rsidRDefault="00D75714" w:rsidP="00D75714">
      <w:pPr>
        <w:spacing w:line="276" w:lineRule="auto"/>
      </w:pPr>
    </w:p>
    <w:p w14:paraId="20E68D46" w14:textId="77777777" w:rsidR="00D75714" w:rsidRDefault="00D75714" w:rsidP="00D75714">
      <w:pPr>
        <w:spacing w:line="276" w:lineRule="auto"/>
      </w:pPr>
    </w:p>
    <w:p w14:paraId="47C67093" w14:textId="77777777" w:rsidR="00D75714" w:rsidRDefault="00D75714" w:rsidP="00D75714">
      <w:pPr>
        <w:spacing w:line="276" w:lineRule="auto"/>
      </w:pPr>
    </w:p>
    <w:p w14:paraId="22D98F72" w14:textId="77777777" w:rsidR="00D75714" w:rsidRDefault="00D75714" w:rsidP="00D75714">
      <w:pPr>
        <w:spacing w:line="276" w:lineRule="auto"/>
      </w:pPr>
    </w:p>
    <w:p w14:paraId="0F60CC4D" w14:textId="77777777" w:rsidR="00D75714" w:rsidRDefault="00D75714" w:rsidP="00D75714">
      <w:pPr>
        <w:spacing w:line="276" w:lineRule="auto"/>
      </w:pPr>
    </w:p>
    <w:p w14:paraId="0F8A6F2E" w14:textId="77777777" w:rsidR="00D75714" w:rsidRDefault="00D75714" w:rsidP="00D75714">
      <w:pPr>
        <w:spacing w:line="276" w:lineRule="auto"/>
      </w:pPr>
    </w:p>
    <w:p w14:paraId="4CD7FCF2" w14:textId="77777777" w:rsidR="00D75714" w:rsidRDefault="00D75714" w:rsidP="00D75714">
      <w:pPr>
        <w:spacing w:line="276" w:lineRule="auto"/>
      </w:pPr>
    </w:p>
    <w:p w14:paraId="150FA376" w14:textId="77777777" w:rsidR="00D75714" w:rsidRDefault="00D75714" w:rsidP="00D75714">
      <w:pPr>
        <w:spacing w:line="276" w:lineRule="auto"/>
      </w:pPr>
    </w:p>
    <w:p w14:paraId="13FEADA7" w14:textId="77777777" w:rsidR="00D75714" w:rsidRDefault="00D75714" w:rsidP="00D75714">
      <w:pPr>
        <w:spacing w:line="276" w:lineRule="auto"/>
      </w:pPr>
    </w:p>
    <w:p w14:paraId="2C589398" w14:textId="77777777" w:rsidR="00D75714" w:rsidRDefault="00D75714" w:rsidP="00D75714">
      <w:pPr>
        <w:spacing w:line="276" w:lineRule="auto"/>
      </w:pPr>
    </w:p>
    <w:p w14:paraId="5D230356" w14:textId="77777777" w:rsidR="00D75714" w:rsidRDefault="00D75714" w:rsidP="00D75714">
      <w:pPr>
        <w:spacing w:line="276" w:lineRule="auto"/>
      </w:pPr>
    </w:p>
    <w:p w14:paraId="6534F954" w14:textId="77777777" w:rsidR="005B37AF" w:rsidRDefault="005B37AF"/>
    <w:sectPr w:rsidR="005B37AF" w:rsidSect="00D75714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CC287" w14:textId="77777777" w:rsidR="00D75714" w:rsidRDefault="00D75714" w:rsidP="00D75714">
      <w:r>
        <w:separator/>
      </w:r>
    </w:p>
  </w:endnote>
  <w:endnote w:type="continuationSeparator" w:id="0">
    <w:p w14:paraId="40597C0F" w14:textId="77777777" w:rsidR="00D75714" w:rsidRDefault="00D75714" w:rsidP="00D7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9C387" w14:textId="176B8C54" w:rsidR="00FD620D" w:rsidRDefault="00D75714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895DA7" wp14:editId="214963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8130" cy="172720"/>
              <wp:effectExtent l="0" t="635" r="635" b="0"/>
              <wp:wrapNone/>
              <wp:docPr id="14037689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AAEC1" w14:textId="77777777" w:rsidR="00FD620D" w:rsidRDefault="00FD620D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rFonts w:eastAsiaTheme="majorEastAsia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Oldalszm"/>
                              <w:rFonts w:eastAsiaTheme="majorEastAsia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rFonts w:eastAsiaTheme="maj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95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1.9pt;height:13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1d6AEAALkDAAAOAAAAZHJzL2Uyb0RvYy54bWysU9uO0zAQfUfiHyy/07RFoquo6Wrpqghp&#10;uUgLHzBxnMTC8Zix22T5esZO20XLGyIP1tjjOZ5z5mR7Ow1WnDQFg66Sq8VSCu0UNsZ1lfz+7fDm&#10;RooQwTVg0elKPukgb3evX21HX+o19mgbTYJBXChHX8k+Rl8WRVC9HiAs0GvHyRZpgMhb6oqGYGT0&#10;wRbr5fJdMSI1nlDpEPj0fk7KXcZvW63il7YNOgpbSe4t5pXyWqe12G2h7Ah8b9S5DfiHLgYwjh+9&#10;Qt1DBHEk8xfUYBRhwDYuFA4Ftq1ROnNgNqvlCzaPPXidubA4wV9lCv8PVn0+PfqvJOL0HiceYCYR&#10;/AOqH0E43PfgOn1HhGOvoeGHV0myYvShPJcmqUMZEkg9fsKGhwzHiBloamlIqjBPweg8gKer6HqK&#10;QvHhenOzessZxanVZr1Z56EUUF6KPYX4QeMgUlBJ4plmcDg9hJiagfJyJb0V0JrmYKzNG+rqvSVx&#10;Ap7/IX+5/xfXrEuXHaayGTGdZJaJ2EwxTvXEycS2xuaJ+RLOfmL/c9Aj/ZJiZC9VMvw8Amkp7EfH&#10;miXjXQK6BPUlAKe4tJJRijncx9mgR0+m6xl5norDO9a1NZnzcxfnPtkfWYqzl5MB/9znW89/3O43&#10;AAAA//8DAFBLAwQUAAYACAAAACEA06xvQNoAAAADAQAADwAAAGRycy9kb3ducmV2LnhtbEyPwU7D&#10;MBBE70j8g7VIXBB1SFFBIU4FLdzg0FL1vI2XJCJeR7HTpH/P9kSPs7OaeZMvJ9eqI/Wh8WzgYZaA&#10;Ii69bbgysPv+uH8GFSKyxdYzGThRgGVxfZVjZv3IGzpuY6UkhEOGBuoYu0zrUNbkMMx8Ryzej+8d&#10;RpF9pW2Po4S7VqdJstAOG5aGGjta1VT+bgdnYLHuh3HDq7v17v0Tv7oq3b+d9sbc3kyvL6AiTfH/&#10;Gc74gg6FMB38wDao1oAMieerEu9xLisOBtKnOegi15fsxR8AAAD//wMAUEsBAi0AFAAGAAgAAAAh&#10;ALaDOJL+AAAA4QEAABMAAAAAAAAAAAAAAAAAAAAAAFtDb250ZW50X1R5cGVzXS54bWxQSwECLQAU&#10;AAYACAAAACEAOP0h/9YAAACUAQAACwAAAAAAAAAAAAAAAAAvAQAAX3JlbHMvLnJlbHNQSwECLQAU&#10;AAYACAAAACEASLndXegBAAC5AwAADgAAAAAAAAAAAAAAAAAuAgAAZHJzL2Uyb0RvYy54bWxQSwEC&#10;LQAUAAYACAAAACEA06xvQNoAAAADAQAADwAAAAAAAAAAAAAAAABCBAAAZHJzL2Rvd25yZXYueG1s&#10;UEsFBgAAAAAEAAQA8wAAAEkFAAAAAA==&#10;" stroked="f">
              <v:textbox inset="0,0,0,0">
                <w:txbxContent>
                  <w:p w14:paraId="07DAAEC1" w14:textId="77777777" w:rsidR="00FD620D" w:rsidRDefault="00FD620D">
                    <w:pPr>
                      <w:pStyle w:val="llb"/>
                    </w:pPr>
                    <w:r>
                      <w:rPr>
                        <w:rStyle w:val="Oldalszm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Oldalszm"/>
                        <w:rFonts w:eastAsiaTheme="majorEastAsia"/>
                      </w:rPr>
                      <w:instrText xml:space="preserve"> PAGE \*ARABIC </w:instrText>
                    </w:r>
                    <w:r>
                      <w:rPr>
                        <w:rStyle w:val="Oldalszm"/>
                        <w:rFonts w:eastAsiaTheme="majorEastAsia"/>
                      </w:rPr>
                      <w:fldChar w:fldCharType="separate"/>
                    </w:r>
                    <w:r>
                      <w:rPr>
                        <w:rStyle w:val="Oldalszm"/>
                        <w:rFonts w:eastAsiaTheme="majorEastAsia"/>
                        <w:noProof/>
                      </w:rPr>
                      <w:t>1</w:t>
                    </w:r>
                    <w:r>
                      <w:rPr>
                        <w:rStyle w:val="Oldalszm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8058" w14:textId="77777777" w:rsidR="00D75714" w:rsidRDefault="00D75714" w:rsidP="00D75714">
      <w:r>
        <w:separator/>
      </w:r>
    </w:p>
  </w:footnote>
  <w:footnote w:type="continuationSeparator" w:id="0">
    <w:p w14:paraId="1FAC1ACD" w14:textId="77777777" w:rsidR="00D75714" w:rsidRDefault="00D75714" w:rsidP="00D75714">
      <w:r>
        <w:continuationSeparator/>
      </w:r>
    </w:p>
  </w:footnote>
  <w:footnote w:id="1">
    <w:p w14:paraId="1D473CBF" w14:textId="6335FD62" w:rsidR="00D75714" w:rsidRDefault="00D75714">
      <w:pPr>
        <w:pStyle w:val="Lbjegyzetszveg"/>
      </w:pPr>
      <w:r>
        <w:rPr>
          <w:rStyle w:val="Lbjegyzet-hivatkozs"/>
        </w:rPr>
        <w:footnoteRef/>
      </w:r>
      <w:r>
        <w:t xml:space="preserve"> A bevezető rendelkezést módosította a 23/2024. (X.31.) Ör. 1. §-a. Hatályos: 2025. január 1-től </w:t>
      </w:r>
    </w:p>
  </w:footnote>
  <w:footnote w:id="2">
    <w:p w14:paraId="11F6EBC6" w14:textId="77777777" w:rsidR="00D75714" w:rsidRDefault="00D75714" w:rsidP="00D75714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Beépítette az 50/2012. (XI.30.) Ör. 1.§-a. Hatályos 2013. január 1-től. </w:t>
      </w:r>
    </w:p>
  </w:footnote>
  <w:footnote w:id="3">
    <w:p w14:paraId="48BFD7A8" w14:textId="77777777" w:rsidR="00D75714" w:rsidRDefault="00D75714" w:rsidP="00D75714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21/2016. (X.27.) Ör. 1. §-a. Hatálytalan:2016. október 27-től.</w:t>
      </w:r>
    </w:p>
  </w:footnote>
  <w:footnote w:id="4">
    <w:p w14:paraId="02C121E0" w14:textId="77777777" w:rsidR="00D75714" w:rsidRDefault="00D75714" w:rsidP="00D75714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az 50/2012. (XI.30.) Ör. 2.§-a. Hatályos 2013. január 1-től</w:t>
      </w:r>
    </w:p>
  </w:footnote>
  <w:footnote w:id="5">
    <w:p w14:paraId="463D39AF" w14:textId="77777777" w:rsidR="00D75714" w:rsidRDefault="00D75714" w:rsidP="00D75714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22/2020. (IX.24.) Ör. 1. §-a. Hatálytalan: 2020. szeptember 25-től.</w:t>
      </w:r>
    </w:p>
  </w:footnote>
  <w:footnote w:id="6">
    <w:p w14:paraId="35DAC7F8" w14:textId="77777777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rFonts w:eastAsiaTheme="majorEastAsia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Módosította az 50/2012. (XI. 30.) Ör. 3. §-a. Hatályos: 2013. január 1-től.</w:t>
      </w:r>
    </w:p>
  </w:footnote>
  <w:footnote w:id="7">
    <w:p w14:paraId="253633F6" w14:textId="77777777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rFonts w:eastAsiaTheme="majorEastAsia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A helyi adókról szóló 1990. évi C. törvény 3. § (2)-(6) bekezdés, 3/A. §, 13. §, 13/A. §</w:t>
      </w:r>
    </w:p>
  </w:footnote>
  <w:footnote w:id="8">
    <w:p w14:paraId="2B74270E" w14:textId="77777777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rFonts w:eastAsiaTheme="majorEastAsia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Módosította a 25/2017. (XII.21.) Ör. 2. §-a. Hatályos: 2018. január 01-től.</w:t>
      </w:r>
    </w:p>
  </w:footnote>
  <w:footnote w:id="9">
    <w:p w14:paraId="220B10E4" w14:textId="77777777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rFonts w:eastAsiaTheme="majorEastAsia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Hatályon kívül helyezte a 22/2020. (IX.24.) Ör. 2. §-a. Hatálytalan: 2020. szeptember 25-től.</w:t>
      </w:r>
    </w:p>
  </w:footnote>
  <w:footnote w:id="10">
    <w:p w14:paraId="1D93B546" w14:textId="77777777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rFonts w:eastAsiaTheme="majorEastAsia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Módosította a 41/2011. (XII. 16.) Ör. 1. §-a. Hatályos: 2011.december 16-tól, rendelkezéseit 2012. január 1-jétől kell alkalmazni.</w:t>
      </w:r>
    </w:p>
  </w:footnote>
  <w:footnote w:id="11">
    <w:p w14:paraId="383293AB" w14:textId="212E45A9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Módosította a 23/2024. (X.31.) Ör. 2. § (1) bekezdése. Hatályos: 2025. január 1-től</w:t>
      </w:r>
      <w:r>
        <w:rPr>
          <w:sz w:val="16"/>
          <w:szCs w:val="16"/>
        </w:rPr>
        <w:t>.</w:t>
      </w:r>
      <w:r w:rsidRPr="00D75714">
        <w:rPr>
          <w:sz w:val="16"/>
          <w:szCs w:val="16"/>
        </w:rPr>
        <w:t xml:space="preserve"> </w:t>
      </w:r>
    </w:p>
  </w:footnote>
  <w:footnote w:id="12">
    <w:p w14:paraId="697DB490" w14:textId="41D988B9" w:rsidR="00D75714" w:rsidRDefault="00D75714" w:rsidP="00D7571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75714">
        <w:rPr>
          <w:sz w:val="16"/>
          <w:szCs w:val="16"/>
        </w:rPr>
        <w:t>Módosította a 23/2024. (X.31.) Ör. 2. § (1) bekezdése. Hatályos: 2025. január 1-től</w:t>
      </w:r>
      <w:r>
        <w:rPr>
          <w:sz w:val="16"/>
          <w:szCs w:val="16"/>
        </w:rPr>
        <w:t>.</w:t>
      </w:r>
    </w:p>
  </w:footnote>
  <w:footnote w:id="13">
    <w:p w14:paraId="4589993F" w14:textId="56B6240C" w:rsidR="00D75714" w:rsidRDefault="00D75714" w:rsidP="00D7571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75714">
        <w:rPr>
          <w:sz w:val="16"/>
          <w:szCs w:val="16"/>
        </w:rPr>
        <w:t>Módosította a 23/2024. (X.31.) Ör. 2. § (1) bekezdése. Hatályos: 2025. január 1-től</w:t>
      </w:r>
      <w:r>
        <w:rPr>
          <w:sz w:val="16"/>
          <w:szCs w:val="16"/>
        </w:rPr>
        <w:t>.</w:t>
      </w:r>
    </w:p>
  </w:footnote>
  <w:footnote w:id="14">
    <w:p w14:paraId="094A1E0B" w14:textId="35EA19C7" w:rsidR="00D75714" w:rsidRDefault="00D75714" w:rsidP="00D7571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75714">
        <w:rPr>
          <w:sz w:val="16"/>
          <w:szCs w:val="16"/>
        </w:rPr>
        <w:t>Módosította a 23/2024. (X.31.) Ör. 2. § (1) bekezdése. Hatályos: 2025. január 1-től</w:t>
      </w:r>
      <w:r>
        <w:rPr>
          <w:sz w:val="16"/>
          <w:szCs w:val="16"/>
        </w:rPr>
        <w:t>.</w:t>
      </w:r>
    </w:p>
  </w:footnote>
  <w:footnote w:id="15">
    <w:p w14:paraId="1ED30D3C" w14:textId="2F261B87" w:rsidR="00D75714" w:rsidRDefault="00D75714" w:rsidP="00D7571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75714">
        <w:rPr>
          <w:sz w:val="16"/>
          <w:szCs w:val="16"/>
        </w:rPr>
        <w:t>Módosította a 23/2024. (X.31.) Ör. 2. § (1) bekezdése. Hatályos: 2025. január 1-től</w:t>
      </w:r>
      <w:r>
        <w:rPr>
          <w:sz w:val="16"/>
          <w:szCs w:val="16"/>
        </w:rPr>
        <w:t>.</w:t>
      </w:r>
    </w:p>
  </w:footnote>
  <w:footnote w:id="16">
    <w:p w14:paraId="5F733AD5" w14:textId="26AFA5A1" w:rsidR="00D75714" w:rsidRPr="00D75714" w:rsidRDefault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</w:t>
      </w:r>
      <w:r w:rsidRPr="00D75714">
        <w:rPr>
          <w:sz w:val="16"/>
          <w:szCs w:val="16"/>
        </w:rPr>
        <w:t>Módosította a 23/2024. (X.31.) Ör. 2. § (1) bekezdése. Hatályos: 2025. január 1-től.</w:t>
      </w:r>
    </w:p>
  </w:footnote>
  <w:footnote w:id="17">
    <w:p w14:paraId="1C2CE963" w14:textId="01D5ED02" w:rsidR="00D75714" w:rsidRPr="00D75714" w:rsidRDefault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</w:t>
      </w:r>
      <w:r w:rsidRPr="00D75714">
        <w:rPr>
          <w:sz w:val="16"/>
          <w:szCs w:val="16"/>
        </w:rPr>
        <w:t>Módosította a 23/2024. (X.31.) Ör. 2. § (1) bekezdése. Hatályos: 2025. január 1-től.</w:t>
      </w:r>
    </w:p>
  </w:footnote>
  <w:footnote w:id="18">
    <w:p w14:paraId="5A353BB1" w14:textId="77777777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rFonts w:eastAsiaTheme="majorEastAsia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Hatályon kívül helyezte a 22/2020. (IX.24.) Ör. 3. §-a. Hatálytalan: 2020. szeptember 25-től.</w:t>
      </w:r>
    </w:p>
  </w:footnote>
  <w:footnote w:id="19">
    <w:p w14:paraId="22467DCB" w14:textId="6A4391EB" w:rsidR="00D75714" w:rsidRDefault="00D7571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</w:rPr>
        <w:t>Beépítette</w:t>
      </w:r>
      <w:r w:rsidRPr="00D75714">
        <w:rPr>
          <w:sz w:val="16"/>
          <w:szCs w:val="16"/>
        </w:rPr>
        <w:t xml:space="preserve"> a 23/2024. (X.31.) Ör. 2. § (</w:t>
      </w:r>
      <w:r>
        <w:rPr>
          <w:sz w:val="16"/>
          <w:szCs w:val="16"/>
        </w:rPr>
        <w:t>2</w:t>
      </w:r>
      <w:r w:rsidRPr="00D75714">
        <w:rPr>
          <w:sz w:val="16"/>
          <w:szCs w:val="16"/>
        </w:rPr>
        <w:t>) bekezdése. Hatályos: 2025. január 1-től.</w:t>
      </w:r>
    </w:p>
  </w:footnote>
  <w:footnote w:id="20">
    <w:p w14:paraId="473FE984" w14:textId="77777777" w:rsidR="00D75714" w:rsidRPr="00D75714" w:rsidRDefault="00D75714" w:rsidP="00D75714">
      <w:pPr>
        <w:pStyle w:val="Lbjegyzetszveg"/>
        <w:rPr>
          <w:sz w:val="16"/>
          <w:szCs w:val="16"/>
        </w:rPr>
      </w:pPr>
      <w:r w:rsidRPr="00D75714">
        <w:rPr>
          <w:rStyle w:val="Lbjegyzet-hivatkozs"/>
          <w:rFonts w:eastAsiaTheme="majorEastAsia"/>
          <w:sz w:val="16"/>
          <w:szCs w:val="16"/>
        </w:rPr>
        <w:footnoteRef/>
      </w:r>
      <w:r w:rsidRPr="00D75714">
        <w:rPr>
          <w:sz w:val="16"/>
          <w:szCs w:val="16"/>
        </w:rPr>
        <w:t xml:space="preserve"> Beépítette az 50/2012. (XI.30.) Ör. 7. §-a. Hatályos: 2013. január 1-től.</w:t>
      </w:r>
    </w:p>
  </w:footnote>
  <w:footnote w:id="21">
    <w:p w14:paraId="79EE3C39" w14:textId="77777777" w:rsidR="00D75714" w:rsidRDefault="00D75714" w:rsidP="00D75714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10/2015. (III.27.) Ör. Hatálytalan: 2015. március 27-től.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7924B" w14:textId="66CE0FF2" w:rsidR="00FD620D" w:rsidRPr="00C34936" w:rsidRDefault="00FD620D">
    <w:pPr>
      <w:pStyle w:val="lfej"/>
      <w:rPr>
        <w:sz w:val="20"/>
        <w:szCs w:val="20"/>
      </w:rPr>
    </w:pPr>
    <w:r w:rsidRPr="00C34936">
      <w:rPr>
        <w:sz w:val="20"/>
        <w:szCs w:val="20"/>
      </w:rPr>
      <w:t>Hatályos: 20</w:t>
    </w:r>
    <w:r>
      <w:rPr>
        <w:sz w:val="20"/>
        <w:szCs w:val="20"/>
      </w:rPr>
      <w:t>2</w:t>
    </w:r>
    <w:r w:rsidR="00D75714">
      <w:rPr>
        <w:sz w:val="20"/>
        <w:szCs w:val="20"/>
      </w:rPr>
      <w:t>5</w:t>
    </w:r>
    <w:r w:rsidRPr="00C34936">
      <w:rPr>
        <w:sz w:val="20"/>
        <w:szCs w:val="20"/>
      </w:rPr>
      <w:t xml:space="preserve">. </w:t>
    </w:r>
    <w:r w:rsidR="00D75714">
      <w:rPr>
        <w:sz w:val="20"/>
        <w:szCs w:val="20"/>
      </w:rPr>
      <w:t>január 1</w:t>
    </w:r>
    <w:r w:rsidRPr="00C34936">
      <w:rPr>
        <w:sz w:val="20"/>
        <w:szCs w:val="20"/>
      </w:rPr>
      <w:t>-től</w:t>
    </w:r>
    <w:r w:rsidRPr="00C34936">
      <w:rPr>
        <w:sz w:val="20"/>
        <w:szCs w:val="20"/>
      </w:rPr>
      <w:tab/>
    </w:r>
    <w:r w:rsidRPr="00C34936">
      <w:rPr>
        <w:sz w:val="20"/>
        <w:szCs w:val="20"/>
      </w:rPr>
      <w:tab/>
      <w:t>Egységes szerkezetbe foglalva: 20</w:t>
    </w:r>
    <w:r>
      <w:rPr>
        <w:sz w:val="20"/>
        <w:szCs w:val="20"/>
      </w:rPr>
      <w:t>2</w:t>
    </w:r>
    <w:r w:rsidR="00D75714">
      <w:rPr>
        <w:sz w:val="20"/>
        <w:szCs w:val="20"/>
      </w:rPr>
      <w:t>4</w:t>
    </w:r>
    <w:r w:rsidRPr="00C34936">
      <w:rPr>
        <w:sz w:val="20"/>
        <w:szCs w:val="20"/>
      </w:rPr>
      <w:t xml:space="preserve">. </w:t>
    </w:r>
    <w:r w:rsidR="00D75714">
      <w:rPr>
        <w:sz w:val="20"/>
        <w:szCs w:val="20"/>
      </w:rPr>
      <w:t>november 5</w:t>
    </w:r>
    <w:r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A1EC5"/>
    <w:multiLevelType w:val="hybridMultilevel"/>
    <w:tmpl w:val="A03814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15A42"/>
    <w:multiLevelType w:val="hybridMultilevel"/>
    <w:tmpl w:val="3D706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3BD5"/>
    <w:multiLevelType w:val="hybridMultilevel"/>
    <w:tmpl w:val="057252C8"/>
    <w:lvl w:ilvl="0" w:tplc="AE801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3D13"/>
    <w:multiLevelType w:val="hybridMultilevel"/>
    <w:tmpl w:val="9AEE3C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DCD"/>
    <w:multiLevelType w:val="hybridMultilevel"/>
    <w:tmpl w:val="0C6615CA"/>
    <w:lvl w:ilvl="0" w:tplc="5260AA5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336664">
    <w:abstractNumId w:val="4"/>
  </w:num>
  <w:num w:numId="2" w16cid:durableId="1766223853">
    <w:abstractNumId w:val="2"/>
  </w:num>
  <w:num w:numId="3" w16cid:durableId="749547042">
    <w:abstractNumId w:val="3"/>
  </w:num>
  <w:num w:numId="4" w16cid:durableId="184027477">
    <w:abstractNumId w:val="1"/>
  </w:num>
  <w:num w:numId="5" w16cid:durableId="48188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14"/>
    <w:rsid w:val="00426373"/>
    <w:rsid w:val="005B37AF"/>
    <w:rsid w:val="00CD5A59"/>
    <w:rsid w:val="00D04C1C"/>
    <w:rsid w:val="00D75714"/>
    <w:rsid w:val="00F531D8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B7C84"/>
  <w15:chartTrackingRefBased/>
  <w15:docId w15:val="{0C4D3809-72F1-474D-A360-3F870910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71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5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5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5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5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5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5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5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5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5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571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571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571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571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571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571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5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5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57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57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571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5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571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5714"/>
    <w:rPr>
      <w:b/>
      <w:bCs/>
      <w:smallCaps/>
      <w:color w:val="0F4761" w:themeColor="accent1" w:themeShade="BF"/>
      <w:spacing w:val="5"/>
    </w:rPr>
  </w:style>
  <w:style w:type="character" w:styleId="Oldalszm">
    <w:name w:val="page number"/>
    <w:basedOn w:val="Bekezdsalapbettpusa"/>
    <w:rsid w:val="00D75714"/>
  </w:style>
  <w:style w:type="paragraph" w:styleId="llb">
    <w:name w:val="footer"/>
    <w:basedOn w:val="Norml"/>
    <w:link w:val="llbChar"/>
    <w:rsid w:val="00D7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7571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rsid w:val="00D7571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571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Lbjegyzet-hivatkozs">
    <w:name w:val="footnote reference"/>
    <w:uiPriority w:val="99"/>
    <w:semiHidden/>
    <w:rsid w:val="00D75714"/>
    <w:rPr>
      <w:vertAlign w:val="superscript"/>
    </w:rPr>
  </w:style>
  <w:style w:type="paragraph" w:styleId="lfej">
    <w:name w:val="header"/>
    <w:basedOn w:val="Norml"/>
    <w:link w:val="lfejChar"/>
    <w:rsid w:val="00D7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7571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zvegtrzs">
    <w:name w:val="Body Text"/>
    <w:basedOn w:val="Norml"/>
    <w:link w:val="SzvegtrzsChar"/>
    <w:rsid w:val="00D75714"/>
    <w:pPr>
      <w:spacing w:after="140" w:line="288" w:lineRule="auto"/>
    </w:pPr>
    <w:rPr>
      <w:rFonts w:eastAsia="Noto Sans CJK SC Regular" w:cs="FreeSans"/>
      <w:kern w:val="2"/>
      <w:lang w:eastAsia="zh-CN" w:bidi="hi-IN"/>
      <w14:ligatures w14:val="standardContextual"/>
    </w:rPr>
  </w:style>
  <w:style w:type="character" w:customStyle="1" w:styleId="SzvegtrzsChar">
    <w:name w:val="Szövegtörzs Char"/>
    <w:basedOn w:val="Bekezdsalapbettpusa"/>
    <w:link w:val="Szvegtrzs"/>
    <w:rsid w:val="00D75714"/>
    <w:rPr>
      <w:rFonts w:ascii="Times New Roman" w:eastAsia="Noto Sans CJK SC Regular" w:hAnsi="Times New Roman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0239-2EDD-4FB5-A6E8-45AACE07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2024-11-05T12:34:00Z</dcterms:created>
  <dcterms:modified xsi:type="dcterms:W3CDTF">2024-11-05T12:45:00Z</dcterms:modified>
</cp:coreProperties>
</file>